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DB6A4">
      <w:pPr>
        <w:spacing w:before="156" w:beforeLines="50" w:after="312" w:afterLines="100"/>
        <w:ind w:firstLine="0" w:firstLineChars="0"/>
        <w:jc w:val="center"/>
        <w:rPr>
          <w:rFonts w:eastAsia="黑体" w:cs="Times New Roman"/>
          <w:b/>
          <w:sz w:val="48"/>
          <w:szCs w:val="44"/>
        </w:rPr>
      </w:pPr>
    </w:p>
    <w:p w14:paraId="6F649C46">
      <w:pPr>
        <w:spacing w:before="156" w:beforeLines="50" w:after="312" w:afterLines="100"/>
        <w:ind w:firstLine="0" w:firstLineChars="0"/>
        <w:jc w:val="center"/>
        <w:rPr>
          <w:rFonts w:eastAsia="黑体" w:cs="Times New Roman"/>
          <w:b/>
          <w:sz w:val="48"/>
          <w:szCs w:val="44"/>
        </w:rPr>
      </w:pPr>
    </w:p>
    <w:p w14:paraId="01CC1C73">
      <w:pPr>
        <w:spacing w:before="156" w:beforeLines="50" w:after="312" w:afterLines="100"/>
        <w:ind w:firstLine="0" w:firstLineChars="0"/>
        <w:jc w:val="center"/>
        <w:rPr>
          <w:rFonts w:eastAsia="黑体" w:cs="Times New Roman"/>
          <w:b w:val="0"/>
          <w:bCs/>
          <w:sz w:val="56"/>
          <w:szCs w:val="56"/>
        </w:rPr>
      </w:pPr>
      <w:r>
        <w:rPr>
          <w:rFonts w:eastAsia="黑体" w:cs="Times New Roman"/>
          <w:b w:val="0"/>
          <w:bCs/>
          <w:sz w:val="56"/>
          <w:szCs w:val="56"/>
        </w:rPr>
        <w:t>上海</w:t>
      </w:r>
      <w:r>
        <w:rPr>
          <w:rFonts w:hint="eastAsia" w:eastAsia="黑体" w:cs="Times New Roman"/>
          <w:b w:val="0"/>
          <w:bCs/>
          <w:sz w:val="56"/>
          <w:szCs w:val="56"/>
        </w:rPr>
        <w:t>市建设工程海绵城市设计</w:t>
      </w:r>
    </w:p>
    <w:p w14:paraId="0E6C145D">
      <w:pPr>
        <w:spacing w:before="156" w:beforeLines="50" w:after="312" w:afterLines="100"/>
        <w:ind w:firstLine="0" w:firstLineChars="0"/>
        <w:jc w:val="center"/>
        <w:rPr>
          <w:rFonts w:eastAsia="黑体" w:cs="Times New Roman"/>
          <w:b w:val="0"/>
          <w:bCs/>
          <w:sz w:val="56"/>
          <w:szCs w:val="56"/>
        </w:rPr>
      </w:pPr>
      <w:r>
        <w:rPr>
          <w:rFonts w:hint="eastAsia" w:eastAsia="黑体" w:cs="Times New Roman"/>
          <w:b w:val="0"/>
          <w:bCs/>
          <w:sz w:val="56"/>
          <w:szCs w:val="56"/>
        </w:rPr>
        <w:t>施工图审查要点</w:t>
      </w:r>
    </w:p>
    <w:p w14:paraId="6355EA2F">
      <w:pPr>
        <w:spacing w:before="156" w:beforeLines="50" w:after="312" w:afterLines="100"/>
        <w:ind w:firstLine="0" w:firstLineChars="0"/>
        <w:jc w:val="center"/>
        <w:rPr>
          <w:rFonts w:eastAsia="黑体" w:cs="Times New Roman"/>
          <w:b w:val="0"/>
          <w:bCs/>
          <w:sz w:val="48"/>
          <w:szCs w:val="44"/>
        </w:rPr>
      </w:pPr>
    </w:p>
    <w:p w14:paraId="7205F8F8">
      <w:pPr>
        <w:ind w:firstLine="0" w:firstLineChars="0"/>
        <w:jc w:val="center"/>
        <w:rPr>
          <w:rFonts w:eastAsia="黑体" w:cs="Times New Roman"/>
          <w:b w:val="0"/>
          <w:bCs/>
          <w:sz w:val="44"/>
          <w:szCs w:val="44"/>
        </w:rPr>
      </w:pPr>
    </w:p>
    <w:p w14:paraId="6A2D3183">
      <w:pPr>
        <w:ind w:firstLine="0" w:firstLineChars="0"/>
        <w:jc w:val="center"/>
        <w:rPr>
          <w:rFonts w:eastAsia="黑体" w:cs="Times New Roman"/>
          <w:b w:val="0"/>
          <w:bCs/>
          <w:sz w:val="44"/>
          <w:szCs w:val="44"/>
        </w:rPr>
      </w:pPr>
    </w:p>
    <w:p w14:paraId="62D14C53">
      <w:pPr>
        <w:ind w:firstLine="0" w:firstLineChars="0"/>
        <w:jc w:val="center"/>
        <w:rPr>
          <w:rFonts w:eastAsia="黑体" w:cs="Times New Roman"/>
          <w:b w:val="0"/>
          <w:bCs/>
          <w:sz w:val="44"/>
          <w:szCs w:val="44"/>
        </w:rPr>
      </w:pPr>
    </w:p>
    <w:p w14:paraId="1269EEE9">
      <w:pPr>
        <w:ind w:firstLine="0" w:firstLineChars="0"/>
        <w:jc w:val="center"/>
        <w:rPr>
          <w:rFonts w:eastAsia="黑体" w:cs="Times New Roman"/>
          <w:b w:val="0"/>
          <w:bCs/>
          <w:sz w:val="44"/>
          <w:szCs w:val="44"/>
        </w:rPr>
      </w:pPr>
    </w:p>
    <w:p w14:paraId="04FF238F">
      <w:pPr>
        <w:ind w:firstLine="0" w:firstLineChars="0"/>
        <w:jc w:val="center"/>
        <w:rPr>
          <w:rFonts w:eastAsia="黑体" w:cs="Times New Roman"/>
          <w:b w:val="0"/>
          <w:bCs/>
          <w:sz w:val="44"/>
          <w:szCs w:val="44"/>
        </w:rPr>
      </w:pPr>
    </w:p>
    <w:p w14:paraId="4B03E04B">
      <w:pPr>
        <w:ind w:firstLine="0" w:firstLineChars="0"/>
        <w:jc w:val="center"/>
        <w:rPr>
          <w:rFonts w:eastAsia="黑体" w:cs="Times New Roman"/>
          <w:b w:val="0"/>
          <w:bCs/>
          <w:sz w:val="44"/>
          <w:szCs w:val="44"/>
        </w:rPr>
      </w:pPr>
    </w:p>
    <w:p w14:paraId="6EC071B0">
      <w:pPr>
        <w:ind w:firstLine="0" w:firstLineChars="0"/>
        <w:jc w:val="center"/>
        <w:rPr>
          <w:rFonts w:eastAsia="黑体" w:cs="Times New Roman"/>
          <w:b w:val="0"/>
          <w:bCs/>
          <w:sz w:val="44"/>
          <w:szCs w:val="44"/>
        </w:rPr>
      </w:pPr>
    </w:p>
    <w:p w14:paraId="67D661F9">
      <w:pPr>
        <w:ind w:firstLine="0" w:firstLineChars="0"/>
        <w:jc w:val="center"/>
        <w:rPr>
          <w:rFonts w:eastAsia="黑体" w:cs="Times New Roman"/>
          <w:b w:val="0"/>
          <w:bCs/>
          <w:sz w:val="44"/>
          <w:szCs w:val="44"/>
        </w:rPr>
      </w:pPr>
    </w:p>
    <w:p w14:paraId="2679832C">
      <w:pPr>
        <w:ind w:firstLine="0" w:firstLineChars="0"/>
        <w:jc w:val="center"/>
        <w:rPr>
          <w:rFonts w:eastAsia="黑体" w:cs="Times New Roman"/>
          <w:b w:val="0"/>
          <w:bCs/>
          <w:sz w:val="40"/>
          <w:szCs w:val="40"/>
        </w:rPr>
      </w:pPr>
      <w:r>
        <w:rPr>
          <w:rFonts w:hint="eastAsia" w:eastAsia="黑体" w:cs="Times New Roman"/>
          <w:b w:val="0"/>
          <w:bCs/>
          <w:sz w:val="40"/>
          <w:szCs w:val="40"/>
        </w:rPr>
        <w:t>上海市住房和城乡建设管理委员会</w:t>
      </w:r>
    </w:p>
    <w:p w14:paraId="1EA9F02D">
      <w:pPr>
        <w:ind w:firstLine="0" w:firstLineChars="0"/>
        <w:jc w:val="center"/>
        <w:rPr>
          <w:rFonts w:eastAsia="黑体" w:cs="Times New Roman"/>
          <w:b w:val="0"/>
          <w:bCs/>
          <w:sz w:val="32"/>
          <w:szCs w:val="32"/>
        </w:rPr>
      </w:pPr>
    </w:p>
    <w:p w14:paraId="786FA2DF">
      <w:pPr>
        <w:ind w:firstLine="0" w:firstLineChars="0"/>
        <w:jc w:val="center"/>
        <w:rPr>
          <w:rFonts w:eastAsia="黑体" w:cs="Times New Roman"/>
          <w:b w:val="0"/>
          <w:bCs/>
          <w:sz w:val="32"/>
          <w:szCs w:val="32"/>
        </w:rPr>
      </w:pPr>
      <w:r>
        <w:rPr>
          <w:rFonts w:hint="eastAsia" w:eastAsia="黑体" w:cs="Times New Roman"/>
          <w:b w:val="0"/>
          <w:bCs/>
          <w:sz w:val="32"/>
          <w:szCs w:val="32"/>
        </w:rPr>
        <w:t>2026年</w:t>
      </w:r>
      <w:r>
        <w:rPr>
          <w:rFonts w:hint="eastAsia" w:eastAsia="黑体" w:cs="Times New Roman"/>
          <w:b w:val="0"/>
          <w:bCs/>
          <w:sz w:val="32"/>
          <w:szCs w:val="32"/>
          <w:lang w:val="en-US" w:eastAsia="zh-CN"/>
        </w:rPr>
        <w:t>9</w:t>
      </w:r>
      <w:r>
        <w:rPr>
          <w:rFonts w:hint="eastAsia" w:eastAsia="黑体" w:cs="Times New Roman"/>
          <w:b w:val="0"/>
          <w:bCs/>
          <w:sz w:val="32"/>
          <w:szCs w:val="32"/>
        </w:rPr>
        <w:t>月</w:t>
      </w:r>
    </w:p>
    <w:p w14:paraId="6DC82B83">
      <w:pPr>
        <w:ind w:firstLine="0" w:firstLineChars="0"/>
        <w:jc w:val="center"/>
        <w:rPr>
          <w:b w:val="0"/>
          <w:bCs/>
          <w:sz w:val="36"/>
          <w:szCs w:val="36"/>
        </w:rPr>
      </w:pPr>
    </w:p>
    <w:p w14:paraId="333A2D03">
      <w:pPr>
        <w:ind w:firstLine="0" w:firstLineChars="0"/>
        <w:jc w:val="center"/>
        <w:rPr>
          <w:b/>
          <w:bCs/>
          <w:sz w:val="36"/>
          <w:szCs w:val="36"/>
        </w:rPr>
      </w:pPr>
    </w:p>
    <w:p w14:paraId="59DD9FA2">
      <w:pPr>
        <w:ind w:firstLine="0" w:firstLineChars="0"/>
        <w:jc w:val="center"/>
        <w:rPr>
          <w:b/>
          <w:bCs/>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134" w:right="1701" w:bottom="1134" w:left="1701" w:header="851" w:footer="992" w:gutter="0"/>
          <w:pgNumType w:start="1"/>
          <w:cols w:space="0" w:num="1"/>
          <w:docGrid w:type="lines" w:linePitch="312" w:charSpace="0"/>
        </w:sectPr>
      </w:pPr>
    </w:p>
    <w:sdt>
      <w:sdtPr>
        <w:id w:val="-1"/>
        <w:docPartObj>
          <w:docPartGallery w:val="Table of Contents"/>
          <w:docPartUnique/>
        </w:docPartObj>
      </w:sdtPr>
      <w:sdtEndPr>
        <w:rPr>
          <w:b/>
          <w:bCs/>
          <w:lang w:val="zh-CN"/>
        </w:rPr>
      </w:sdtEndPr>
      <w:sdtContent>
        <w:p w14:paraId="2641F7FF">
          <w:pPr>
            <w:spacing w:line="240" w:lineRule="auto"/>
            <w:ind w:firstLine="0" w:firstLineChars="0"/>
            <w:jc w:val="center"/>
            <w:rPr>
              <w:b/>
              <w:bCs/>
              <w:sz w:val="28"/>
              <w:szCs w:val="28"/>
            </w:rPr>
          </w:pPr>
          <w:bookmarkStart w:id="0" w:name="_Toc116676937"/>
          <w:bookmarkStart w:id="1" w:name="_Toc116677210"/>
          <w:bookmarkStart w:id="2" w:name="_Toc116676037"/>
          <w:bookmarkStart w:id="3" w:name="_Toc116676046"/>
          <w:bookmarkStart w:id="4" w:name="_Toc116675848"/>
          <w:r>
            <w:rPr>
              <w:b/>
              <w:bCs/>
              <w:sz w:val="28"/>
              <w:szCs w:val="28"/>
            </w:rPr>
            <w:t>目录</w:t>
          </w:r>
        </w:p>
        <w:p w14:paraId="276EC2BC">
          <w:pPr>
            <w:pStyle w:val="15"/>
            <w:tabs>
              <w:tab w:val="right" w:leader="dot" w:pos="8504"/>
            </w:tabs>
          </w:pPr>
          <w:r>
            <w:fldChar w:fldCharType="begin"/>
          </w:r>
          <w:r>
            <w:instrText xml:space="preserve"> TOC \o "1-3" \h \z \u </w:instrText>
          </w:r>
          <w:r>
            <w:fldChar w:fldCharType="separate"/>
          </w:r>
          <w:r>
            <w:fldChar w:fldCharType="begin"/>
          </w:r>
          <w:r>
            <w:instrText xml:space="preserve"> HYPERLINK \l _Toc5962 </w:instrText>
          </w:r>
          <w:r>
            <w:fldChar w:fldCharType="separate"/>
          </w:r>
          <w:r>
            <w:rPr>
              <w:rFonts w:hint="default" w:ascii="Times New Roman" w:hAnsi="Times New Roman" w:eastAsia="宋体"/>
              <w:bCs w:val="0"/>
              <w:i w:val="0"/>
              <w:szCs w:val="28"/>
            </w:rPr>
            <w:t xml:space="preserve">一 </w:t>
          </w:r>
          <w:r>
            <w:rPr>
              <w:rFonts w:hint="eastAsia"/>
              <w:szCs w:val="32"/>
            </w:rPr>
            <w:t>总则</w:t>
          </w:r>
          <w:r>
            <w:tab/>
          </w:r>
          <w:r>
            <w:fldChar w:fldCharType="begin"/>
          </w:r>
          <w:r>
            <w:instrText xml:space="preserve"> PAGEREF _Toc5962 \h </w:instrText>
          </w:r>
          <w:r>
            <w:fldChar w:fldCharType="separate"/>
          </w:r>
          <w:r>
            <w:t>1</w:t>
          </w:r>
          <w:r>
            <w:fldChar w:fldCharType="end"/>
          </w:r>
          <w:r>
            <w:fldChar w:fldCharType="end"/>
          </w:r>
        </w:p>
        <w:p w14:paraId="02708621">
          <w:pPr>
            <w:pStyle w:val="15"/>
            <w:tabs>
              <w:tab w:val="right" w:leader="dot" w:pos="8504"/>
            </w:tabs>
          </w:pPr>
          <w:r>
            <w:rPr>
              <w:rFonts w:cstheme="minorHAnsi"/>
              <w:szCs w:val="20"/>
            </w:rPr>
            <w:fldChar w:fldCharType="begin"/>
          </w:r>
          <w:r>
            <w:rPr>
              <w:rFonts w:cstheme="minorHAnsi"/>
              <w:szCs w:val="20"/>
            </w:rPr>
            <w:instrText xml:space="preserve"> HYPERLINK \l _Toc30775 </w:instrText>
          </w:r>
          <w:r>
            <w:rPr>
              <w:rFonts w:cstheme="minorHAnsi"/>
              <w:szCs w:val="20"/>
            </w:rPr>
            <w:fldChar w:fldCharType="separate"/>
          </w:r>
          <w:r>
            <w:rPr>
              <w:rFonts w:hint="default" w:ascii="Times New Roman" w:hAnsi="Times New Roman" w:eastAsia="宋体"/>
              <w:bCs w:val="0"/>
              <w:i w:val="0"/>
              <w:szCs w:val="28"/>
            </w:rPr>
            <w:t xml:space="preserve">二 </w:t>
          </w:r>
          <w:r>
            <w:rPr>
              <w:rFonts w:hint="eastAsia"/>
              <w:szCs w:val="32"/>
            </w:rPr>
            <w:t>审查要点</w:t>
          </w:r>
          <w:r>
            <w:tab/>
          </w:r>
          <w:r>
            <w:fldChar w:fldCharType="begin"/>
          </w:r>
          <w:r>
            <w:instrText xml:space="preserve"> PAGEREF _Toc30775 \h </w:instrText>
          </w:r>
          <w:r>
            <w:fldChar w:fldCharType="separate"/>
          </w:r>
          <w:r>
            <w:t>2</w:t>
          </w:r>
          <w:r>
            <w:fldChar w:fldCharType="end"/>
          </w:r>
          <w:r>
            <w:rPr>
              <w:rFonts w:cstheme="minorHAnsi"/>
              <w:szCs w:val="20"/>
            </w:rPr>
            <w:fldChar w:fldCharType="end"/>
          </w:r>
        </w:p>
        <w:p w14:paraId="4E933B27">
          <w:pPr>
            <w:pStyle w:val="18"/>
            <w:tabs>
              <w:tab w:val="right" w:leader="dot" w:pos="8504"/>
            </w:tabs>
          </w:pPr>
          <w:r>
            <w:rPr>
              <w:rFonts w:cstheme="minorHAnsi"/>
              <w:szCs w:val="20"/>
            </w:rPr>
            <w:fldChar w:fldCharType="begin"/>
          </w:r>
          <w:r>
            <w:rPr>
              <w:rFonts w:cstheme="minorHAnsi"/>
              <w:szCs w:val="20"/>
            </w:rPr>
            <w:instrText xml:space="preserve"> HYPERLINK \l _Toc26087 </w:instrText>
          </w:r>
          <w:r>
            <w:rPr>
              <w:rFonts w:cstheme="minorHAnsi"/>
              <w:szCs w:val="20"/>
            </w:rPr>
            <w:fldChar w:fldCharType="separate"/>
          </w:r>
          <w:r>
            <w:rPr>
              <w:rFonts w:hint="default" w:ascii="Times New Roman" w:hAnsi="Times New Roman" w:eastAsia="宋体"/>
              <w:i w:val="0"/>
              <w:szCs w:val="24"/>
            </w:rPr>
            <w:t xml:space="preserve">2.1 </w:t>
          </w:r>
          <w:r>
            <w:rPr>
              <w:rFonts w:hint="eastAsia"/>
            </w:rPr>
            <w:t>房屋建筑工程</w:t>
          </w:r>
          <w:r>
            <w:tab/>
          </w:r>
          <w:r>
            <w:fldChar w:fldCharType="begin"/>
          </w:r>
          <w:r>
            <w:instrText xml:space="preserve"> PAGEREF _Toc26087 \h </w:instrText>
          </w:r>
          <w:r>
            <w:fldChar w:fldCharType="separate"/>
          </w:r>
          <w:r>
            <w:t>2</w:t>
          </w:r>
          <w:r>
            <w:fldChar w:fldCharType="end"/>
          </w:r>
          <w:r>
            <w:rPr>
              <w:rFonts w:cstheme="minorHAnsi"/>
              <w:szCs w:val="20"/>
            </w:rPr>
            <w:fldChar w:fldCharType="end"/>
          </w:r>
        </w:p>
        <w:p w14:paraId="037A07D1">
          <w:pPr>
            <w:pStyle w:val="10"/>
            <w:tabs>
              <w:tab w:val="right" w:leader="dot" w:pos="8504"/>
            </w:tabs>
          </w:pPr>
          <w:r>
            <w:rPr>
              <w:rFonts w:cstheme="minorHAnsi"/>
              <w:szCs w:val="20"/>
            </w:rPr>
            <w:fldChar w:fldCharType="begin"/>
          </w:r>
          <w:r>
            <w:rPr>
              <w:rFonts w:cstheme="minorHAnsi"/>
              <w:szCs w:val="20"/>
            </w:rPr>
            <w:instrText xml:space="preserve"> HYPERLINK \l _Toc11936 </w:instrText>
          </w:r>
          <w:r>
            <w:rPr>
              <w:rFonts w:cstheme="minorHAnsi"/>
              <w:szCs w:val="20"/>
            </w:rPr>
            <w:fldChar w:fldCharType="separate"/>
          </w:r>
          <w:r>
            <w:rPr>
              <w:rFonts w:hint="default" w:ascii="Times New Roman" w:hAnsi="Times New Roman" w:eastAsia="宋体"/>
              <w:i w:val="0"/>
            </w:rPr>
            <w:t xml:space="preserve">2.1.1 </w:t>
          </w:r>
          <w:r>
            <w:rPr>
              <w:rFonts w:hint="eastAsia"/>
            </w:rPr>
            <w:t>建设要求</w:t>
          </w:r>
          <w:r>
            <w:tab/>
          </w:r>
          <w:r>
            <w:fldChar w:fldCharType="begin"/>
          </w:r>
          <w:r>
            <w:instrText xml:space="preserve"> PAGEREF _Toc11936 \h </w:instrText>
          </w:r>
          <w:r>
            <w:fldChar w:fldCharType="separate"/>
          </w:r>
          <w:r>
            <w:t>2</w:t>
          </w:r>
          <w:r>
            <w:fldChar w:fldCharType="end"/>
          </w:r>
          <w:r>
            <w:rPr>
              <w:rFonts w:cstheme="minorHAnsi"/>
              <w:szCs w:val="20"/>
            </w:rPr>
            <w:fldChar w:fldCharType="end"/>
          </w:r>
        </w:p>
        <w:p w14:paraId="104E4416">
          <w:pPr>
            <w:pStyle w:val="10"/>
            <w:tabs>
              <w:tab w:val="right" w:leader="dot" w:pos="8504"/>
            </w:tabs>
          </w:pPr>
          <w:r>
            <w:rPr>
              <w:rFonts w:cstheme="minorHAnsi"/>
              <w:szCs w:val="20"/>
            </w:rPr>
            <w:fldChar w:fldCharType="begin"/>
          </w:r>
          <w:r>
            <w:rPr>
              <w:rFonts w:cstheme="minorHAnsi"/>
              <w:szCs w:val="20"/>
            </w:rPr>
            <w:instrText xml:space="preserve"> HYPERLINK \l _Toc5510 </w:instrText>
          </w:r>
          <w:r>
            <w:rPr>
              <w:rFonts w:cstheme="minorHAnsi"/>
              <w:szCs w:val="20"/>
            </w:rPr>
            <w:fldChar w:fldCharType="separate"/>
          </w:r>
          <w:r>
            <w:rPr>
              <w:rFonts w:hint="default" w:ascii="Times New Roman" w:hAnsi="Times New Roman" w:eastAsia="宋体"/>
              <w:i w:val="0"/>
            </w:rPr>
            <w:t xml:space="preserve">2.1.2 </w:t>
          </w:r>
          <w:r>
            <w:rPr>
              <w:rFonts w:hint="eastAsia"/>
            </w:rPr>
            <w:t>建筑专业</w:t>
          </w:r>
          <w:r>
            <w:tab/>
          </w:r>
          <w:r>
            <w:fldChar w:fldCharType="begin"/>
          </w:r>
          <w:r>
            <w:instrText xml:space="preserve"> PAGEREF _Toc5510 \h </w:instrText>
          </w:r>
          <w:r>
            <w:fldChar w:fldCharType="separate"/>
          </w:r>
          <w:r>
            <w:t>2</w:t>
          </w:r>
          <w:r>
            <w:fldChar w:fldCharType="end"/>
          </w:r>
          <w:r>
            <w:rPr>
              <w:rFonts w:cstheme="minorHAnsi"/>
              <w:szCs w:val="20"/>
            </w:rPr>
            <w:fldChar w:fldCharType="end"/>
          </w:r>
        </w:p>
        <w:p w14:paraId="64EBB5D7">
          <w:pPr>
            <w:pStyle w:val="10"/>
            <w:tabs>
              <w:tab w:val="right" w:leader="dot" w:pos="8504"/>
            </w:tabs>
          </w:pPr>
          <w:r>
            <w:rPr>
              <w:rFonts w:cstheme="minorHAnsi"/>
              <w:szCs w:val="20"/>
            </w:rPr>
            <w:fldChar w:fldCharType="begin"/>
          </w:r>
          <w:r>
            <w:rPr>
              <w:rFonts w:cstheme="minorHAnsi"/>
              <w:szCs w:val="20"/>
            </w:rPr>
            <w:instrText xml:space="preserve"> HYPERLINK \l _Toc31316 </w:instrText>
          </w:r>
          <w:r>
            <w:rPr>
              <w:rFonts w:cstheme="minorHAnsi"/>
              <w:szCs w:val="20"/>
            </w:rPr>
            <w:fldChar w:fldCharType="separate"/>
          </w:r>
          <w:r>
            <w:rPr>
              <w:rFonts w:hint="default" w:ascii="Times New Roman" w:hAnsi="Times New Roman" w:eastAsia="宋体"/>
              <w:i w:val="0"/>
            </w:rPr>
            <w:t xml:space="preserve">2.1.3 </w:t>
          </w:r>
          <w:r>
            <w:rPr>
              <w:rFonts w:hint="eastAsia"/>
            </w:rPr>
            <w:t>结构专业</w:t>
          </w:r>
          <w:r>
            <w:tab/>
          </w:r>
          <w:r>
            <w:fldChar w:fldCharType="begin"/>
          </w:r>
          <w:r>
            <w:instrText xml:space="preserve"> PAGEREF _Toc31316 \h </w:instrText>
          </w:r>
          <w:r>
            <w:fldChar w:fldCharType="separate"/>
          </w:r>
          <w:r>
            <w:t>4</w:t>
          </w:r>
          <w:r>
            <w:fldChar w:fldCharType="end"/>
          </w:r>
          <w:r>
            <w:rPr>
              <w:rFonts w:cstheme="minorHAnsi"/>
              <w:szCs w:val="20"/>
            </w:rPr>
            <w:fldChar w:fldCharType="end"/>
          </w:r>
        </w:p>
        <w:p w14:paraId="18F1F4A7">
          <w:pPr>
            <w:pStyle w:val="10"/>
            <w:tabs>
              <w:tab w:val="right" w:leader="dot" w:pos="8504"/>
            </w:tabs>
          </w:pPr>
          <w:r>
            <w:rPr>
              <w:rFonts w:cstheme="minorHAnsi"/>
              <w:szCs w:val="20"/>
            </w:rPr>
            <w:fldChar w:fldCharType="begin"/>
          </w:r>
          <w:r>
            <w:rPr>
              <w:rFonts w:cstheme="minorHAnsi"/>
              <w:szCs w:val="20"/>
            </w:rPr>
            <w:instrText xml:space="preserve"> HYPERLINK \l _Toc10581 </w:instrText>
          </w:r>
          <w:r>
            <w:rPr>
              <w:rFonts w:cstheme="minorHAnsi"/>
              <w:szCs w:val="20"/>
            </w:rPr>
            <w:fldChar w:fldCharType="separate"/>
          </w:r>
          <w:r>
            <w:rPr>
              <w:rFonts w:hint="default" w:ascii="Times New Roman" w:hAnsi="Times New Roman" w:eastAsia="宋体"/>
              <w:i w:val="0"/>
            </w:rPr>
            <w:t xml:space="preserve">2.1.4 </w:t>
          </w:r>
          <w:r>
            <w:rPr>
              <w:rFonts w:hint="eastAsia"/>
            </w:rPr>
            <w:t>给水排水专业</w:t>
          </w:r>
          <w:r>
            <w:tab/>
          </w:r>
          <w:r>
            <w:fldChar w:fldCharType="begin"/>
          </w:r>
          <w:r>
            <w:instrText xml:space="preserve"> PAGEREF _Toc10581 \h </w:instrText>
          </w:r>
          <w:r>
            <w:fldChar w:fldCharType="separate"/>
          </w:r>
          <w:r>
            <w:t>8</w:t>
          </w:r>
          <w:r>
            <w:fldChar w:fldCharType="end"/>
          </w:r>
          <w:r>
            <w:rPr>
              <w:rFonts w:cstheme="minorHAnsi"/>
              <w:szCs w:val="20"/>
            </w:rPr>
            <w:fldChar w:fldCharType="end"/>
          </w:r>
        </w:p>
        <w:p w14:paraId="783854B4">
          <w:pPr>
            <w:pStyle w:val="10"/>
            <w:tabs>
              <w:tab w:val="right" w:leader="dot" w:pos="8504"/>
            </w:tabs>
          </w:pPr>
          <w:r>
            <w:rPr>
              <w:rFonts w:cstheme="minorHAnsi"/>
              <w:szCs w:val="20"/>
            </w:rPr>
            <w:fldChar w:fldCharType="begin"/>
          </w:r>
          <w:r>
            <w:rPr>
              <w:rFonts w:cstheme="minorHAnsi"/>
              <w:szCs w:val="20"/>
            </w:rPr>
            <w:instrText xml:space="preserve"> HYPERLINK \l _Toc17986 </w:instrText>
          </w:r>
          <w:r>
            <w:rPr>
              <w:rFonts w:cstheme="minorHAnsi"/>
              <w:szCs w:val="20"/>
            </w:rPr>
            <w:fldChar w:fldCharType="separate"/>
          </w:r>
          <w:r>
            <w:rPr>
              <w:rFonts w:hint="default" w:ascii="Times New Roman" w:hAnsi="Times New Roman" w:eastAsia="宋体"/>
              <w:i w:val="0"/>
            </w:rPr>
            <w:t xml:space="preserve">2.1.5 </w:t>
          </w:r>
          <w:r>
            <w:rPr>
              <w:rFonts w:hint="eastAsia"/>
            </w:rPr>
            <w:t>电气专业</w:t>
          </w:r>
          <w:r>
            <w:tab/>
          </w:r>
          <w:r>
            <w:fldChar w:fldCharType="begin"/>
          </w:r>
          <w:r>
            <w:instrText xml:space="preserve"> PAGEREF _Toc17986 \h </w:instrText>
          </w:r>
          <w:r>
            <w:fldChar w:fldCharType="separate"/>
          </w:r>
          <w:r>
            <w:t>20</w:t>
          </w:r>
          <w:r>
            <w:fldChar w:fldCharType="end"/>
          </w:r>
          <w:r>
            <w:rPr>
              <w:rFonts w:cstheme="minorHAnsi"/>
              <w:szCs w:val="20"/>
            </w:rPr>
            <w:fldChar w:fldCharType="end"/>
          </w:r>
        </w:p>
        <w:p w14:paraId="32EE8E77">
          <w:pPr>
            <w:pStyle w:val="18"/>
            <w:tabs>
              <w:tab w:val="right" w:leader="dot" w:pos="8504"/>
            </w:tabs>
          </w:pPr>
          <w:r>
            <w:rPr>
              <w:rFonts w:cstheme="minorHAnsi"/>
              <w:szCs w:val="20"/>
            </w:rPr>
            <w:fldChar w:fldCharType="begin"/>
          </w:r>
          <w:r>
            <w:rPr>
              <w:rFonts w:cstheme="minorHAnsi"/>
              <w:szCs w:val="20"/>
            </w:rPr>
            <w:instrText xml:space="preserve"> HYPERLINK \l _Toc27422 </w:instrText>
          </w:r>
          <w:r>
            <w:rPr>
              <w:rFonts w:cstheme="minorHAnsi"/>
              <w:szCs w:val="20"/>
            </w:rPr>
            <w:fldChar w:fldCharType="separate"/>
          </w:r>
          <w:r>
            <w:rPr>
              <w:rFonts w:hint="default" w:ascii="Times New Roman" w:hAnsi="Times New Roman" w:eastAsia="宋体"/>
              <w:i w:val="0"/>
              <w:szCs w:val="24"/>
            </w:rPr>
            <w:t xml:space="preserve">2.2 </w:t>
          </w:r>
          <w:r>
            <w:rPr>
              <w:rFonts w:hint="eastAsia"/>
            </w:rPr>
            <w:t>市政交通工程</w:t>
          </w:r>
          <w:r>
            <w:tab/>
          </w:r>
          <w:r>
            <w:fldChar w:fldCharType="begin"/>
          </w:r>
          <w:r>
            <w:instrText xml:space="preserve"> PAGEREF _Toc27422 \h </w:instrText>
          </w:r>
          <w:r>
            <w:fldChar w:fldCharType="separate"/>
          </w:r>
          <w:r>
            <w:t>23</w:t>
          </w:r>
          <w:r>
            <w:fldChar w:fldCharType="end"/>
          </w:r>
          <w:r>
            <w:rPr>
              <w:rFonts w:cstheme="minorHAnsi"/>
              <w:szCs w:val="20"/>
            </w:rPr>
            <w:fldChar w:fldCharType="end"/>
          </w:r>
        </w:p>
        <w:p w14:paraId="07E2035D">
          <w:pPr>
            <w:pStyle w:val="10"/>
            <w:tabs>
              <w:tab w:val="right" w:leader="dot" w:pos="8504"/>
            </w:tabs>
          </w:pPr>
          <w:r>
            <w:rPr>
              <w:rFonts w:cstheme="minorHAnsi"/>
              <w:szCs w:val="20"/>
            </w:rPr>
            <w:fldChar w:fldCharType="begin"/>
          </w:r>
          <w:r>
            <w:rPr>
              <w:rFonts w:cstheme="minorHAnsi"/>
              <w:szCs w:val="20"/>
            </w:rPr>
            <w:instrText xml:space="preserve"> HYPERLINK \l _Toc23893 </w:instrText>
          </w:r>
          <w:r>
            <w:rPr>
              <w:rFonts w:cstheme="minorHAnsi"/>
              <w:szCs w:val="20"/>
            </w:rPr>
            <w:fldChar w:fldCharType="separate"/>
          </w:r>
          <w:r>
            <w:rPr>
              <w:rFonts w:hint="default" w:ascii="Times New Roman" w:hAnsi="Times New Roman" w:eastAsia="宋体"/>
              <w:i w:val="0"/>
            </w:rPr>
            <w:t xml:space="preserve">2.2.1 </w:t>
          </w:r>
          <w:r>
            <w:rPr>
              <w:rFonts w:hint="eastAsia"/>
            </w:rPr>
            <w:t>建设要求</w:t>
          </w:r>
          <w:r>
            <w:tab/>
          </w:r>
          <w:r>
            <w:fldChar w:fldCharType="begin"/>
          </w:r>
          <w:r>
            <w:instrText xml:space="preserve"> PAGEREF _Toc23893 \h </w:instrText>
          </w:r>
          <w:r>
            <w:fldChar w:fldCharType="separate"/>
          </w:r>
          <w:r>
            <w:t>23</w:t>
          </w:r>
          <w:r>
            <w:fldChar w:fldCharType="end"/>
          </w:r>
          <w:r>
            <w:rPr>
              <w:rFonts w:cstheme="minorHAnsi"/>
              <w:szCs w:val="20"/>
            </w:rPr>
            <w:fldChar w:fldCharType="end"/>
          </w:r>
        </w:p>
        <w:p w14:paraId="17D99B77">
          <w:pPr>
            <w:pStyle w:val="10"/>
            <w:tabs>
              <w:tab w:val="right" w:leader="dot" w:pos="8504"/>
            </w:tabs>
          </w:pPr>
          <w:r>
            <w:rPr>
              <w:rFonts w:cstheme="minorHAnsi"/>
              <w:szCs w:val="20"/>
            </w:rPr>
            <w:fldChar w:fldCharType="begin"/>
          </w:r>
          <w:r>
            <w:rPr>
              <w:rFonts w:cstheme="minorHAnsi"/>
              <w:szCs w:val="20"/>
            </w:rPr>
            <w:instrText xml:space="preserve"> HYPERLINK \l _Toc10554 </w:instrText>
          </w:r>
          <w:r>
            <w:rPr>
              <w:rFonts w:cstheme="minorHAnsi"/>
              <w:szCs w:val="20"/>
            </w:rPr>
            <w:fldChar w:fldCharType="separate"/>
          </w:r>
          <w:r>
            <w:rPr>
              <w:rFonts w:hint="default" w:ascii="Times New Roman" w:hAnsi="Times New Roman" w:eastAsia="宋体"/>
              <w:i w:val="0"/>
            </w:rPr>
            <w:t xml:space="preserve">2.2.2 </w:t>
          </w:r>
          <w:r>
            <w:rPr>
              <w:rFonts w:hint="eastAsia"/>
            </w:rPr>
            <w:t>道路专业</w:t>
          </w:r>
          <w:r>
            <w:tab/>
          </w:r>
          <w:r>
            <w:fldChar w:fldCharType="begin"/>
          </w:r>
          <w:r>
            <w:instrText xml:space="preserve"> PAGEREF _Toc10554 \h </w:instrText>
          </w:r>
          <w:r>
            <w:fldChar w:fldCharType="separate"/>
          </w:r>
          <w:r>
            <w:t>23</w:t>
          </w:r>
          <w:r>
            <w:fldChar w:fldCharType="end"/>
          </w:r>
          <w:r>
            <w:rPr>
              <w:rFonts w:cstheme="minorHAnsi"/>
              <w:szCs w:val="20"/>
            </w:rPr>
            <w:fldChar w:fldCharType="end"/>
          </w:r>
        </w:p>
        <w:p w14:paraId="01956428">
          <w:pPr>
            <w:pStyle w:val="10"/>
            <w:tabs>
              <w:tab w:val="right" w:leader="dot" w:pos="8504"/>
            </w:tabs>
          </w:pPr>
          <w:r>
            <w:rPr>
              <w:rFonts w:cstheme="minorHAnsi"/>
              <w:szCs w:val="20"/>
            </w:rPr>
            <w:fldChar w:fldCharType="begin"/>
          </w:r>
          <w:r>
            <w:rPr>
              <w:rFonts w:cstheme="minorHAnsi"/>
              <w:szCs w:val="20"/>
            </w:rPr>
            <w:instrText xml:space="preserve"> HYPERLINK \l _Toc20251 </w:instrText>
          </w:r>
          <w:r>
            <w:rPr>
              <w:rFonts w:cstheme="minorHAnsi"/>
              <w:szCs w:val="20"/>
            </w:rPr>
            <w:fldChar w:fldCharType="separate"/>
          </w:r>
          <w:r>
            <w:rPr>
              <w:rFonts w:hint="default" w:ascii="Times New Roman" w:hAnsi="Times New Roman" w:eastAsia="宋体"/>
              <w:i w:val="0"/>
            </w:rPr>
            <w:t xml:space="preserve">2.2.3 </w:t>
          </w:r>
          <w:r>
            <w:rPr>
              <w:rFonts w:hint="eastAsia"/>
            </w:rPr>
            <w:t>给水排水专业</w:t>
          </w:r>
          <w:r>
            <w:tab/>
          </w:r>
          <w:r>
            <w:fldChar w:fldCharType="begin"/>
          </w:r>
          <w:r>
            <w:instrText xml:space="preserve"> PAGEREF _Toc20251 \h </w:instrText>
          </w:r>
          <w:r>
            <w:fldChar w:fldCharType="separate"/>
          </w:r>
          <w:r>
            <w:t>26</w:t>
          </w:r>
          <w:r>
            <w:fldChar w:fldCharType="end"/>
          </w:r>
          <w:r>
            <w:rPr>
              <w:rFonts w:cstheme="minorHAnsi"/>
              <w:szCs w:val="20"/>
            </w:rPr>
            <w:fldChar w:fldCharType="end"/>
          </w:r>
        </w:p>
        <w:p w14:paraId="5B7C241C">
          <w:pPr>
            <w:pStyle w:val="15"/>
            <w:tabs>
              <w:tab w:val="right" w:leader="dot" w:pos="8504"/>
            </w:tabs>
          </w:pPr>
          <w:r>
            <w:rPr>
              <w:rFonts w:cstheme="minorHAnsi"/>
              <w:szCs w:val="20"/>
            </w:rPr>
            <w:fldChar w:fldCharType="begin"/>
          </w:r>
          <w:r>
            <w:rPr>
              <w:rFonts w:cstheme="minorHAnsi"/>
              <w:szCs w:val="20"/>
            </w:rPr>
            <w:instrText xml:space="preserve"> HYPERLINK \l _Toc11575 </w:instrText>
          </w:r>
          <w:r>
            <w:rPr>
              <w:rFonts w:cstheme="minorHAnsi"/>
              <w:szCs w:val="20"/>
            </w:rPr>
            <w:fldChar w:fldCharType="separate"/>
          </w:r>
          <w:r>
            <w:rPr>
              <w:rFonts w:hint="eastAsia"/>
            </w:rPr>
            <w:t>附件：上海市海绵城市建设相关政策和管理文件清单</w:t>
          </w:r>
          <w:r>
            <w:tab/>
          </w:r>
          <w:r>
            <w:fldChar w:fldCharType="begin"/>
          </w:r>
          <w:r>
            <w:instrText xml:space="preserve"> PAGEREF _Toc11575 \h </w:instrText>
          </w:r>
          <w:r>
            <w:fldChar w:fldCharType="separate"/>
          </w:r>
          <w:r>
            <w:t>37</w:t>
          </w:r>
          <w:r>
            <w:fldChar w:fldCharType="end"/>
          </w:r>
          <w:r>
            <w:rPr>
              <w:rFonts w:cstheme="minorHAnsi"/>
              <w:szCs w:val="20"/>
            </w:rPr>
            <w:fldChar w:fldCharType="end"/>
          </w:r>
        </w:p>
        <w:p w14:paraId="18F6F223">
          <w:pPr>
            <w:ind w:firstLine="0" w:firstLineChars="0"/>
            <w:rPr>
              <w:b/>
              <w:bCs/>
              <w:lang w:val="zh-CN"/>
            </w:rPr>
          </w:pPr>
          <w:r>
            <w:rPr>
              <w:rFonts w:cstheme="minorHAnsi"/>
              <w:szCs w:val="20"/>
            </w:rPr>
            <w:fldChar w:fldCharType="end"/>
          </w:r>
        </w:p>
      </w:sdtContent>
    </w:sdt>
    <w:p w14:paraId="54B3DCCA">
      <w:pPr>
        <w:ind w:firstLine="420"/>
      </w:pPr>
    </w:p>
    <w:p w14:paraId="132A1471">
      <w:pPr>
        <w:ind w:firstLine="0" w:firstLineChars="0"/>
        <w:sectPr>
          <w:footerReference r:id="rId11" w:type="default"/>
          <w:pgSz w:w="11906" w:h="16838"/>
          <w:pgMar w:top="1134" w:right="1701" w:bottom="1134" w:left="1701" w:header="851" w:footer="992" w:gutter="0"/>
          <w:pgNumType w:start="1"/>
          <w:cols w:space="0" w:num="1"/>
          <w:docGrid w:type="lines" w:linePitch="312" w:charSpace="0"/>
        </w:sectPr>
      </w:pPr>
    </w:p>
    <w:bookmarkEnd w:id="0"/>
    <w:bookmarkEnd w:id="1"/>
    <w:bookmarkEnd w:id="2"/>
    <w:bookmarkEnd w:id="3"/>
    <w:bookmarkEnd w:id="4"/>
    <w:p w14:paraId="505EEB79">
      <w:pPr>
        <w:pStyle w:val="2"/>
        <w:spacing w:before="156" w:after="156"/>
        <w:rPr>
          <w:sz w:val="24"/>
          <w:szCs w:val="32"/>
        </w:rPr>
      </w:pPr>
      <w:bookmarkStart w:id="5" w:name="_Toc228197949"/>
      <w:bookmarkEnd w:id="5"/>
      <w:bookmarkStart w:id="6" w:name="_Toc229573444"/>
      <w:bookmarkEnd w:id="6"/>
      <w:bookmarkStart w:id="7" w:name="_Toc229573447"/>
      <w:bookmarkEnd w:id="7"/>
      <w:bookmarkStart w:id="8" w:name="_Toc229573445"/>
      <w:bookmarkEnd w:id="8"/>
      <w:bookmarkStart w:id="9" w:name="_Toc229573446"/>
      <w:bookmarkEnd w:id="9"/>
      <w:bookmarkStart w:id="10" w:name="_Toc228197952"/>
      <w:bookmarkEnd w:id="10"/>
      <w:bookmarkStart w:id="11" w:name="_Toc228197955"/>
      <w:bookmarkEnd w:id="11"/>
      <w:bookmarkStart w:id="12" w:name="_Toc228197954"/>
      <w:bookmarkEnd w:id="12"/>
      <w:bookmarkStart w:id="13" w:name="_Toc229573441"/>
      <w:bookmarkEnd w:id="13"/>
      <w:bookmarkStart w:id="14" w:name="_Toc228197948"/>
      <w:bookmarkEnd w:id="14"/>
      <w:bookmarkStart w:id="15" w:name="_Toc228197951"/>
      <w:bookmarkEnd w:id="15"/>
      <w:bookmarkStart w:id="16" w:name="_Toc228197953"/>
      <w:bookmarkEnd w:id="16"/>
      <w:bookmarkStart w:id="17" w:name="_Toc228197950"/>
      <w:bookmarkEnd w:id="17"/>
      <w:bookmarkStart w:id="18" w:name="_Toc229573443"/>
      <w:bookmarkEnd w:id="18"/>
      <w:bookmarkStart w:id="19" w:name="_Toc229573442"/>
      <w:bookmarkEnd w:id="19"/>
      <w:bookmarkStart w:id="20" w:name="_Toc229573440"/>
      <w:bookmarkEnd w:id="20"/>
      <w:bookmarkStart w:id="21" w:name="_Toc232627963"/>
      <w:bookmarkStart w:id="22" w:name="_Toc27119"/>
      <w:bookmarkStart w:id="23" w:name="_Toc16734"/>
      <w:bookmarkStart w:id="24" w:name="_Toc5962"/>
      <w:bookmarkStart w:id="25" w:name="_Toc1797748103"/>
      <w:r>
        <w:rPr>
          <w:rFonts w:hint="eastAsia"/>
          <w:sz w:val="24"/>
          <w:szCs w:val="32"/>
        </w:rPr>
        <w:t>总则</w:t>
      </w:r>
      <w:bookmarkEnd w:id="21"/>
      <w:bookmarkEnd w:id="22"/>
      <w:bookmarkEnd w:id="23"/>
      <w:bookmarkEnd w:id="24"/>
      <w:bookmarkEnd w:id="25"/>
    </w:p>
    <w:p w14:paraId="647C522D">
      <w:pPr>
        <w:ind w:firstLine="420"/>
      </w:pPr>
      <w:r>
        <w:rPr>
          <w:rFonts w:hint="eastAsia"/>
        </w:rPr>
        <w:t>1、为深入贯彻落实《上海市人民政府办公厅关于印发</w:t>
      </w:r>
      <w:r>
        <w:rPr>
          <w:rFonts w:hint="eastAsia"/>
          <w:lang w:val="en-US" w:eastAsia="zh-CN"/>
        </w:rPr>
        <w:t>&lt;</w:t>
      </w:r>
      <w:r>
        <w:rPr>
          <w:rFonts w:hint="eastAsia"/>
        </w:rPr>
        <w:t>本市系统化全域推进海绵城市建设的实施意见</w:t>
      </w:r>
      <w:r>
        <w:rPr>
          <w:rFonts w:hint="eastAsia"/>
          <w:lang w:val="en-US" w:eastAsia="zh-CN"/>
        </w:rPr>
        <w:t>&gt;</w:t>
      </w:r>
      <w:r>
        <w:rPr>
          <w:rFonts w:hint="eastAsia"/>
        </w:rPr>
        <w:t>的通知》（沪府办发〔2024〕3号）及《上海市海绵城市规划建设管理办法》（沪住建规范联〔2023〕11号）有关规定，根据《上海市住房和城乡建设管理委员会关于进一步加强本市建设工程海绵城市施工图设计审查和竣工验收管理的有关通知》（沪建综规〔2023〕374号）关于加强海绵城市施工图</w:t>
      </w:r>
      <w:r>
        <w:rPr>
          <w:rFonts w:hint="eastAsia"/>
          <w:lang w:val="en-US" w:eastAsia="zh-CN"/>
        </w:rPr>
        <w:t>设计</w:t>
      </w:r>
      <w:r>
        <w:rPr>
          <w:rFonts w:hint="eastAsia"/>
        </w:rPr>
        <w:t>审查的要求，制定本审查要点。</w:t>
      </w:r>
    </w:p>
    <w:p w14:paraId="106984A8">
      <w:pPr>
        <w:pStyle w:val="7"/>
        <w:ind w:firstLine="420"/>
        <w:jc w:val="both"/>
      </w:pPr>
      <w:r>
        <w:rPr>
          <w:rFonts w:hint="eastAsia"/>
        </w:rPr>
        <w:t>2、本要点适用于上海市新建、扩建、改建的房屋建筑和市政交通工程海绵城市建设施工图设计文件审查，审查内容依据《室外排水设计标准》GB50014-2021、《建筑与小区雨水控制及利用工程技术规范》GB50400-2016、《海绵城市规划与设计标准》</w:t>
      </w:r>
      <w:r>
        <w:t>DG/TJ08-2298-2026</w:t>
      </w:r>
      <w:r>
        <w:rPr>
          <w:rFonts w:hint="eastAsia"/>
        </w:rPr>
        <w:t>、《给水排水工程构筑物结构设计规范》GB 50069-2002等现行国家和</w:t>
      </w:r>
      <w:r>
        <w:rPr>
          <w:rFonts w:hint="eastAsia"/>
          <w:lang w:val="en-US" w:eastAsia="zh-CN"/>
        </w:rPr>
        <w:t>本</w:t>
      </w:r>
      <w:r>
        <w:rPr>
          <w:rFonts w:hint="eastAsia"/>
        </w:rPr>
        <w:t>市工程建设规范及政府主管部门相关政策文件编写，主要包括上述标准中与海绵城市关系密切的设计条文，涉及建筑（含场地规划、室外环境和绿化景观）、结构、给水排水、电气等专业。现行国家全文强制性工程建设规范和其他相关技术标准中的强制性条文均为施工图审查内容，本要点不再重复列出。</w:t>
      </w:r>
    </w:p>
    <w:p w14:paraId="3B12E19F">
      <w:pPr>
        <w:ind w:firstLine="420"/>
      </w:pPr>
      <w:r>
        <w:rPr>
          <w:rFonts w:hint="eastAsia"/>
        </w:rPr>
        <w:t>3、施工图送审文件应包括海绵城市施工图设计计算书和设计图纸（含设计与施工说明、下垫面分析图、汇水分区图、海绵设施平面布置图、场地竖向设计图、排水管网平面图、海绵设施详图等），详见《上海市建设项目设计文件海绵专篇（章）编制深度（试行）》。海绵城市施工图设计应明确海绵城市建设要求、设计目标和具体指标，落实方案阶段审查或评审意见，在平面布局、竖向设计、设施设计等方面确能实现径流控制、面源污染削减的设计要求，设计图纸和内容深度应满足施工要求。无海绵城市设计的项目应提供说明和依据，否则直接判定不满足海绵城市建设要求，退回修改后重新送审。</w:t>
      </w:r>
    </w:p>
    <w:p w14:paraId="5E665A44">
      <w:pPr>
        <w:ind w:firstLine="420"/>
      </w:pPr>
      <w:r>
        <w:rPr>
          <w:rFonts w:hint="eastAsia"/>
        </w:rPr>
        <w:t>4、审查合格的海绵城市施工图不得擅自修改，确需修改的，凡涉及工程建设强制性标准、海绵城市设计目标指标、海绵城市主要设施调整等重大变更以及法律、法规、规章规定必须审查内容的，应重新送原审查机构审查。园林景观设计应以审查合格的海绵城市施工图作为设计依据，不得随意改变海绵城市设计内容，确保海绵设施汇水范围内径流雨水能顺畅地汇集到海绵设施中。涉及海绵城市内容的景观图纸应经海绵城市设计专业会签或出具书面确认意见。</w:t>
      </w:r>
    </w:p>
    <w:p w14:paraId="17A1C3D0">
      <w:pPr>
        <w:ind w:firstLine="420"/>
      </w:pPr>
      <w:r>
        <w:rPr>
          <w:rFonts w:hint="eastAsia"/>
        </w:rPr>
        <w:br w:type="page"/>
      </w:r>
    </w:p>
    <w:p w14:paraId="33E1C5A0">
      <w:pPr>
        <w:pStyle w:val="2"/>
        <w:spacing w:before="156" w:after="156"/>
        <w:rPr>
          <w:sz w:val="24"/>
          <w:szCs w:val="32"/>
        </w:rPr>
      </w:pPr>
      <w:bookmarkStart w:id="26" w:name="_Toc9398"/>
      <w:bookmarkStart w:id="27" w:name="_Toc232627964"/>
      <w:bookmarkStart w:id="28" w:name="_Toc30775"/>
      <w:bookmarkStart w:id="29" w:name="_Toc856973859"/>
      <w:bookmarkStart w:id="30" w:name="_Toc14847"/>
      <w:r>
        <w:rPr>
          <w:rFonts w:hint="eastAsia"/>
          <w:sz w:val="24"/>
          <w:szCs w:val="32"/>
        </w:rPr>
        <w:t>审查要点</w:t>
      </w:r>
      <w:bookmarkEnd w:id="26"/>
      <w:bookmarkEnd w:id="27"/>
      <w:bookmarkEnd w:id="28"/>
      <w:bookmarkEnd w:id="29"/>
      <w:bookmarkEnd w:id="30"/>
    </w:p>
    <w:p w14:paraId="77675467">
      <w:pPr>
        <w:pStyle w:val="3"/>
        <w:spacing w:before="156"/>
      </w:pPr>
      <w:bookmarkStart w:id="31" w:name="_Toc7802"/>
      <w:bookmarkStart w:id="32" w:name="_Toc16690"/>
      <w:bookmarkStart w:id="33" w:name="_Toc191983338"/>
      <w:bookmarkStart w:id="34" w:name="_Toc26087"/>
      <w:bookmarkStart w:id="35" w:name="_Toc232627965"/>
      <w:r>
        <w:rPr>
          <w:rFonts w:hint="eastAsia"/>
        </w:rPr>
        <w:t>房屋建筑工程</w:t>
      </w:r>
      <w:bookmarkEnd w:id="31"/>
      <w:bookmarkEnd w:id="32"/>
      <w:bookmarkEnd w:id="33"/>
      <w:bookmarkEnd w:id="34"/>
      <w:bookmarkEnd w:id="35"/>
    </w:p>
    <w:p w14:paraId="521DE5FC">
      <w:pPr>
        <w:pStyle w:val="4"/>
        <w:spacing w:before="312" w:beforeLines="100"/>
      </w:pPr>
      <w:bookmarkStart w:id="36" w:name="_Toc11936"/>
      <w:r>
        <w:rPr>
          <w:rFonts w:hint="eastAsia"/>
        </w:rPr>
        <w:t>建设要求</w:t>
      </w:r>
      <w:bookmarkEnd w:id="36"/>
    </w:p>
    <w:tbl>
      <w:tblPr>
        <w:tblStyle w:val="23"/>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130"/>
        <w:gridCol w:w="6916"/>
      </w:tblGrid>
      <w:tr w14:paraId="197E66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5" w:type="pct"/>
            <w:tcBorders>
              <w:tl2br w:val="nil"/>
              <w:tr2bl w:val="nil"/>
            </w:tcBorders>
            <w:shd w:val="clear" w:color="auto" w:fill="auto"/>
            <w:vAlign w:val="center"/>
          </w:tcPr>
          <w:p w14:paraId="600CC40B">
            <w:pPr>
              <w:widowControl/>
              <w:ind w:firstLine="0" w:firstLineChars="0"/>
              <w:contextualSpacing/>
              <w:jc w:val="center"/>
              <w:rPr>
                <w:rFonts w:ascii="Times New Roman" w:hAnsi="Times New Roman" w:eastAsiaTheme="minorEastAsia" w:cstheme="minorEastAsia"/>
                <w:bCs/>
                <w:kern w:val="0"/>
                <w:sz w:val="21"/>
                <w:szCs w:val="21"/>
                <w:lang w:val="en-US" w:eastAsia="zh-CN" w:bidi="ar-SA"/>
              </w:rPr>
            </w:pPr>
            <w:r>
              <w:rPr>
                <w:rFonts w:hint="eastAsia" w:eastAsiaTheme="minorEastAsia" w:cstheme="minorEastAsia"/>
                <w:bCs/>
                <w:kern w:val="0"/>
                <w:szCs w:val="21"/>
              </w:rPr>
              <w:t>序号</w:t>
            </w:r>
          </w:p>
        </w:tc>
        <w:tc>
          <w:tcPr>
            <w:tcW w:w="648" w:type="pct"/>
            <w:tcBorders>
              <w:tl2br w:val="nil"/>
              <w:tr2bl w:val="nil"/>
            </w:tcBorders>
            <w:shd w:val="clear" w:color="auto" w:fill="auto"/>
            <w:vAlign w:val="center"/>
          </w:tcPr>
          <w:p w14:paraId="1CA7A853">
            <w:pPr>
              <w:ind w:firstLine="0" w:firstLineChars="0"/>
              <w:contextualSpacing/>
              <w:jc w:val="center"/>
              <w:rPr>
                <w:rFonts w:hint="eastAsia" w:ascii="Times New Roman" w:hAnsi="Times New Roman" w:eastAsiaTheme="minorEastAsia" w:cstheme="minorEastAsia"/>
                <w:bCs/>
                <w:kern w:val="0"/>
                <w:sz w:val="21"/>
                <w:szCs w:val="21"/>
                <w:lang w:val="en-US" w:eastAsia="zh-CN" w:bidi="ar-SA"/>
              </w:rPr>
            </w:pPr>
            <w:r>
              <w:rPr>
                <w:rFonts w:hint="eastAsia" w:eastAsiaTheme="minorEastAsia" w:cstheme="minorEastAsia"/>
                <w:bCs/>
                <w:kern w:val="0"/>
                <w:szCs w:val="21"/>
              </w:rPr>
              <w:t>审查项目</w:t>
            </w:r>
          </w:p>
        </w:tc>
        <w:tc>
          <w:tcPr>
            <w:tcW w:w="3966" w:type="pct"/>
            <w:tcBorders>
              <w:tl2br w:val="nil"/>
              <w:tr2bl w:val="nil"/>
            </w:tcBorders>
            <w:shd w:val="clear" w:color="auto" w:fill="auto"/>
            <w:vAlign w:val="center"/>
          </w:tcPr>
          <w:p w14:paraId="34FF5502">
            <w:pPr>
              <w:widowControl/>
              <w:ind w:firstLine="0" w:firstLineChars="0"/>
              <w:contextualSpacing/>
              <w:jc w:val="center"/>
              <w:rPr>
                <w:rFonts w:hint="eastAsia" w:ascii="Times New Roman" w:hAnsi="Times New Roman" w:eastAsiaTheme="minorEastAsia" w:cstheme="minorEastAsia"/>
                <w:bCs/>
                <w:kern w:val="0"/>
                <w:sz w:val="21"/>
                <w:szCs w:val="21"/>
                <w:lang w:val="en-US" w:eastAsia="zh-CN" w:bidi="ar-SA"/>
              </w:rPr>
            </w:pPr>
            <w:r>
              <w:rPr>
                <w:rFonts w:hint="eastAsia" w:eastAsiaTheme="minorEastAsia" w:cstheme="minorEastAsia"/>
                <w:bCs/>
                <w:kern w:val="0"/>
                <w:szCs w:val="21"/>
              </w:rPr>
              <w:t>审查的标准及条文</w:t>
            </w:r>
          </w:p>
        </w:tc>
      </w:tr>
      <w:tr w14:paraId="39030A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5" w:type="pct"/>
            <w:tcBorders>
              <w:tl2br w:val="nil"/>
              <w:tr2bl w:val="nil"/>
            </w:tcBorders>
            <w:vAlign w:val="center"/>
          </w:tcPr>
          <w:p w14:paraId="28B00BBB">
            <w:pPr>
              <w:widowControl/>
              <w:numPr>
                <w:ilvl w:val="0"/>
                <w:numId w:val="2"/>
              </w:numPr>
              <w:ind w:firstLineChars="0"/>
              <w:contextualSpacing/>
              <w:jc w:val="center"/>
              <w:rPr>
                <w:rFonts w:eastAsia="黑体"/>
                <w:bCs/>
                <w:kern w:val="0"/>
                <w:szCs w:val="21"/>
              </w:rPr>
            </w:pPr>
          </w:p>
        </w:tc>
        <w:tc>
          <w:tcPr>
            <w:tcW w:w="648" w:type="pct"/>
            <w:tcBorders>
              <w:tl2br w:val="nil"/>
              <w:tr2bl w:val="nil"/>
            </w:tcBorders>
            <w:vAlign w:val="center"/>
          </w:tcPr>
          <w:p w14:paraId="64C9CF7B">
            <w:pPr>
              <w:ind w:firstLine="0" w:firstLineChars="0"/>
              <w:jc w:val="center"/>
              <w:rPr>
                <w:rFonts w:eastAsiaTheme="minorEastAsia" w:cstheme="minorEastAsia"/>
                <w:bCs/>
                <w:kern w:val="0"/>
                <w:szCs w:val="21"/>
              </w:rPr>
            </w:pPr>
            <w:r>
              <w:rPr>
                <w:rFonts w:hint="eastAsia" w:eastAsiaTheme="minorEastAsia" w:cstheme="minorEastAsia"/>
                <w:bCs/>
                <w:kern w:val="0"/>
                <w:szCs w:val="21"/>
              </w:rPr>
              <w:t>建设要求</w:t>
            </w:r>
          </w:p>
        </w:tc>
        <w:tc>
          <w:tcPr>
            <w:tcW w:w="3966" w:type="pct"/>
            <w:tcBorders>
              <w:tl2br w:val="nil"/>
              <w:tr2bl w:val="nil"/>
            </w:tcBorders>
            <w:vAlign w:val="center"/>
          </w:tcPr>
          <w:p w14:paraId="2D299AB2">
            <w:pPr>
              <w:pStyle w:val="35"/>
              <w:tabs>
                <w:tab w:val="left" w:pos="420"/>
              </w:tabs>
              <w:rPr>
                <w:rFonts w:cs="Times New Roman"/>
                <w:b/>
                <w:bCs/>
                <w:szCs w:val="21"/>
              </w:rPr>
            </w:pPr>
            <w:r>
              <w:rPr>
                <w:rFonts w:hint="eastAsia" w:cs="Times New Roman"/>
                <w:b/>
                <w:bCs/>
                <w:szCs w:val="21"/>
              </w:rPr>
              <w:t>《海绵城市规划与设计标准》DG/TJ 08-2298-2026</w:t>
            </w:r>
          </w:p>
          <w:p w14:paraId="30205F8E">
            <w:pPr>
              <w:pStyle w:val="35"/>
              <w:tabs>
                <w:tab w:val="left" w:pos="420"/>
              </w:tabs>
              <w:rPr>
                <w:rFonts w:cs="Times New Roman"/>
                <w:szCs w:val="21"/>
              </w:rPr>
            </w:pPr>
            <w:r>
              <w:rPr>
                <w:rFonts w:hint="eastAsia" w:cs="Times New Roman"/>
                <w:szCs w:val="21"/>
              </w:rPr>
              <w:t>3.0.3</w:t>
            </w:r>
            <w:r>
              <w:rPr>
                <w:rFonts w:hint="eastAsia" w:cs="Times New Roman"/>
                <w:szCs w:val="21"/>
                <w:lang w:val="en-US" w:eastAsia="zh-CN"/>
              </w:rPr>
              <w:t xml:space="preserve"> </w:t>
            </w:r>
            <w:r>
              <w:rPr>
                <w:rFonts w:hint="eastAsia" w:cs="Times New Roman"/>
                <w:szCs w:val="21"/>
              </w:rPr>
              <w:t>新、改、扩建项目应落实海绵城市建设要求。</w:t>
            </w:r>
          </w:p>
          <w:p w14:paraId="64FE8999">
            <w:pPr>
              <w:pStyle w:val="35"/>
              <w:tabs>
                <w:tab w:val="left" w:pos="420"/>
              </w:tabs>
              <w:rPr>
                <w:rFonts w:cs="Times New Roman"/>
                <w:szCs w:val="21"/>
              </w:rPr>
            </w:pPr>
            <w:r>
              <w:rPr>
                <w:rFonts w:hint="eastAsia" w:cs="Times New Roman"/>
                <w:szCs w:val="21"/>
              </w:rPr>
              <w:t>6.1.5 建筑与小区的新建项目，应按照绿色优先、绿灰结合的原则开展海绵城市设计，并应满足规划中各类指标的要求。老旧小区改造、城中村改造、既有公建改造等建筑与小区的改建项目应因地制宜落实海绵城市理念，系统性解决内涝积水、雨污混接等问题，实现降雨径流控制。</w:t>
            </w:r>
          </w:p>
          <w:p w14:paraId="13F1A992">
            <w:pPr>
              <w:pStyle w:val="35"/>
              <w:tabs>
                <w:tab w:val="left" w:pos="420"/>
              </w:tabs>
              <w:rPr>
                <w:rFonts w:cs="Times New Roman"/>
                <w:b/>
                <w:bCs/>
                <w:i/>
                <w:iCs/>
                <w:szCs w:val="21"/>
              </w:rPr>
            </w:pPr>
            <w:r>
              <w:rPr>
                <w:rFonts w:hint="eastAsia" w:cs="Times New Roman"/>
                <w:b/>
                <w:bCs/>
                <w:i/>
                <w:iCs/>
                <w:szCs w:val="21"/>
              </w:rPr>
              <w:t>审查说明：根据本市系统化全域推进海绵城市建设的要求，除纳入《关于进一步加强本市建设工程海绵城市施工图设计审查和竣工验收管理的有关通知》（沪建综规〔2023〕374号）</w:t>
            </w:r>
            <w:r>
              <w:rPr>
                <w:rFonts w:hint="eastAsia" w:cs="Times New Roman"/>
                <w:b/>
                <w:bCs/>
                <w:i/>
                <w:iCs/>
                <w:szCs w:val="21"/>
                <w:lang w:val="en-US" w:eastAsia="zh-CN"/>
              </w:rPr>
              <w:t>规定</w:t>
            </w:r>
            <w:r>
              <w:rPr>
                <w:rFonts w:hint="eastAsia" w:cs="Times New Roman"/>
                <w:b/>
                <w:bCs/>
                <w:i/>
                <w:iCs/>
                <w:szCs w:val="21"/>
              </w:rPr>
              <w:t>豁免清单的项目外，其余各类项目均需落实海绵城市建设要求，海绵城市建设指标一般由市级、区级海绵城市建设规划和片区系统方案确定，具体以海绵城市主管部门在土地出让或设计条件中核提的指标要求为准，与方案设计阶段保持一致。</w:t>
            </w:r>
          </w:p>
        </w:tc>
      </w:tr>
    </w:tbl>
    <w:p w14:paraId="44BA7124">
      <w:pPr>
        <w:pStyle w:val="4"/>
        <w:spacing w:before="312" w:beforeLines="100"/>
      </w:pPr>
      <w:bookmarkStart w:id="37" w:name="_Toc4449"/>
      <w:bookmarkStart w:id="38" w:name="_Toc5510"/>
      <w:bookmarkStart w:id="39" w:name="_Toc2109702082"/>
      <w:bookmarkStart w:id="40" w:name="_Toc232627966"/>
      <w:bookmarkStart w:id="41" w:name="_Toc4086"/>
      <w:r>
        <w:rPr>
          <w:rFonts w:hint="eastAsia"/>
        </w:rPr>
        <w:t>建筑专业</w:t>
      </w:r>
      <w:bookmarkEnd w:id="37"/>
      <w:bookmarkEnd w:id="38"/>
      <w:bookmarkEnd w:id="39"/>
      <w:bookmarkEnd w:id="40"/>
      <w:bookmarkEnd w:id="41"/>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134"/>
        <w:gridCol w:w="6913"/>
      </w:tblGrid>
      <w:tr w14:paraId="6B257A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86" w:type="pct"/>
            <w:tcBorders>
              <w:tl2br w:val="nil"/>
              <w:tr2bl w:val="nil"/>
            </w:tcBorders>
            <w:vAlign w:val="center"/>
          </w:tcPr>
          <w:p w14:paraId="3F933896">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序号</w:t>
            </w:r>
          </w:p>
        </w:tc>
        <w:tc>
          <w:tcPr>
            <w:tcW w:w="650" w:type="pct"/>
            <w:tcBorders>
              <w:tl2br w:val="nil"/>
              <w:tr2bl w:val="nil"/>
            </w:tcBorders>
            <w:vAlign w:val="center"/>
          </w:tcPr>
          <w:p w14:paraId="0DEEA96A">
            <w:pPr>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审查项目</w:t>
            </w:r>
          </w:p>
        </w:tc>
        <w:tc>
          <w:tcPr>
            <w:tcW w:w="3962" w:type="pct"/>
            <w:tcBorders>
              <w:tl2br w:val="nil"/>
              <w:tr2bl w:val="nil"/>
            </w:tcBorders>
            <w:vAlign w:val="center"/>
          </w:tcPr>
          <w:p w14:paraId="17E5EF99">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审查的标准及条文</w:t>
            </w:r>
          </w:p>
        </w:tc>
      </w:tr>
      <w:tr w14:paraId="114BE8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6" w:type="pct"/>
            <w:tcBorders>
              <w:tl2br w:val="nil"/>
              <w:tr2bl w:val="nil"/>
            </w:tcBorders>
            <w:vAlign w:val="center"/>
          </w:tcPr>
          <w:p w14:paraId="17E7C95B">
            <w:pPr>
              <w:widowControl/>
              <w:numPr>
                <w:ilvl w:val="0"/>
                <w:numId w:val="3"/>
              </w:numPr>
              <w:ind w:firstLineChars="0"/>
              <w:contextualSpacing/>
              <w:jc w:val="center"/>
              <w:rPr>
                <w:rFonts w:eastAsia="黑体"/>
                <w:bCs/>
                <w:kern w:val="0"/>
                <w:szCs w:val="21"/>
              </w:rPr>
            </w:pPr>
          </w:p>
        </w:tc>
        <w:tc>
          <w:tcPr>
            <w:tcW w:w="650" w:type="pct"/>
            <w:tcBorders>
              <w:tl2br w:val="nil"/>
              <w:tr2bl w:val="nil"/>
            </w:tcBorders>
            <w:vAlign w:val="center"/>
          </w:tcPr>
          <w:p w14:paraId="322463C7">
            <w:pPr>
              <w:ind w:firstLine="0" w:firstLineChars="0"/>
              <w:jc w:val="center"/>
              <w:rPr>
                <w:rFonts w:eastAsiaTheme="minorEastAsia" w:cstheme="minorEastAsia"/>
                <w:bCs/>
                <w:kern w:val="0"/>
                <w:szCs w:val="21"/>
              </w:rPr>
            </w:pPr>
            <w:r>
              <w:rPr>
                <w:rFonts w:hint="eastAsia" w:eastAsiaTheme="minorEastAsia" w:cstheme="minorEastAsia"/>
                <w:bCs/>
                <w:kern w:val="0"/>
                <w:szCs w:val="21"/>
              </w:rPr>
              <w:t>总平面和竖向设计</w:t>
            </w:r>
          </w:p>
        </w:tc>
        <w:tc>
          <w:tcPr>
            <w:tcW w:w="3962" w:type="pct"/>
            <w:tcBorders>
              <w:tl2br w:val="nil"/>
              <w:tr2bl w:val="nil"/>
            </w:tcBorders>
            <w:vAlign w:val="center"/>
          </w:tcPr>
          <w:p w14:paraId="39149A37">
            <w:pPr>
              <w:pStyle w:val="35"/>
              <w:tabs>
                <w:tab w:val="left" w:pos="420"/>
              </w:tabs>
              <w:rPr>
                <w:rFonts w:cs="Times New Roman"/>
                <w:b/>
                <w:bCs/>
                <w:szCs w:val="21"/>
              </w:rPr>
            </w:pPr>
            <w:r>
              <w:rPr>
                <w:rFonts w:cs="Times New Roman"/>
                <w:b/>
                <w:bCs/>
                <w:szCs w:val="21"/>
              </w:rPr>
              <w:t>《海绵城市规划与设计标准》DG/TJ 08-2298-2026</w:t>
            </w:r>
          </w:p>
          <w:p w14:paraId="27208056">
            <w:pPr>
              <w:tabs>
                <w:tab w:val="left" w:pos="420"/>
              </w:tabs>
              <w:ind w:firstLine="0" w:firstLineChars="0"/>
              <w:rPr>
                <w:rFonts w:cs="Times New Roman"/>
                <w:szCs w:val="21"/>
              </w:rPr>
            </w:pPr>
            <w:r>
              <w:rPr>
                <w:rFonts w:hint="eastAsia" w:cs="Times New Roman"/>
                <w:szCs w:val="21"/>
              </w:rPr>
              <w:t>6.3.2 建筑与小区的竖向设计应符合下列规定:</w:t>
            </w:r>
          </w:p>
          <w:p w14:paraId="24E82987">
            <w:pPr>
              <w:pStyle w:val="35"/>
              <w:tabs>
                <w:tab w:val="left" w:pos="420"/>
              </w:tabs>
              <w:ind w:firstLine="420" w:firstLineChars="200"/>
              <w:rPr>
                <w:rFonts w:cs="Times New Roman"/>
                <w:szCs w:val="21"/>
              </w:rPr>
            </w:pPr>
            <w:r>
              <w:rPr>
                <w:rFonts w:hint="eastAsia" w:cs="Times New Roman"/>
                <w:szCs w:val="21"/>
              </w:rPr>
              <w:t>1 应按照地块原有场地标高，结合土方平衡，确定绿地标高或室外建筑明沟/散水标高。</w:t>
            </w:r>
          </w:p>
          <w:p w14:paraId="798DE20D">
            <w:pPr>
              <w:pStyle w:val="35"/>
              <w:tabs>
                <w:tab w:val="left" w:pos="420"/>
              </w:tabs>
              <w:ind w:firstLine="420" w:firstLineChars="200"/>
              <w:rPr>
                <w:rFonts w:cs="Times New Roman"/>
                <w:szCs w:val="21"/>
              </w:rPr>
            </w:pPr>
            <w:r>
              <w:rPr>
                <w:rFonts w:hint="eastAsia" w:cs="Times New Roman"/>
                <w:szCs w:val="21"/>
              </w:rPr>
              <w:t>5 建筑室内地坪标高应高于小区道路路面标高。</w:t>
            </w:r>
          </w:p>
          <w:p w14:paraId="53260DE6">
            <w:pPr>
              <w:pStyle w:val="35"/>
              <w:tabs>
                <w:tab w:val="left" w:pos="420"/>
              </w:tabs>
              <w:rPr>
                <w:rFonts w:cs="Times New Roman"/>
                <w:b/>
                <w:bCs/>
                <w:i/>
                <w:iCs/>
                <w:szCs w:val="21"/>
              </w:rPr>
            </w:pPr>
            <w:r>
              <w:rPr>
                <w:rFonts w:hint="eastAsia" w:cs="Times New Roman"/>
                <w:b/>
                <w:bCs/>
                <w:i/>
                <w:iCs/>
                <w:szCs w:val="21"/>
              </w:rPr>
              <w:t>审查说明：项目总平</w:t>
            </w:r>
            <w:r>
              <w:rPr>
                <w:rFonts w:hint="eastAsia" w:cs="Times New Roman"/>
                <w:b/>
                <w:bCs/>
                <w:i/>
                <w:iCs/>
                <w:szCs w:val="21"/>
                <w:lang w:val="en-US" w:eastAsia="zh-CN"/>
              </w:rPr>
              <w:t>面</w:t>
            </w:r>
            <w:r>
              <w:rPr>
                <w:rFonts w:hint="eastAsia" w:cs="Times New Roman"/>
                <w:b/>
                <w:bCs/>
                <w:i/>
                <w:iCs/>
                <w:szCs w:val="21"/>
              </w:rPr>
              <w:t>布置和竖向设计应为海绵设施的分散式布置、海绵设施就近汇集径流雨水和场地排水通畅创造有利条件。小区内道路、广场、露天停车场和庭院步道等宜坡向绿地，绿地宜采用微地形设计，下凹空间按照硬化地面的汇水范围设计。设计文件要明确项目各类下垫面的控制标高和坡向，竖向衔接合理，确保源头减排设施服务范围内的径流能进入相应的设施。条文中室内地坪标高，指建筑±0.000（室内完成面标高），室内地坪高于小区室外道路路面标高，作用是防止雨水倒灌进建筑室内。</w:t>
            </w:r>
          </w:p>
          <w:p w14:paraId="75F01016">
            <w:pPr>
              <w:pStyle w:val="35"/>
              <w:tabs>
                <w:tab w:val="left" w:pos="420"/>
              </w:tabs>
              <w:rPr>
                <w:rFonts w:cs="Times New Roman"/>
                <w:b/>
                <w:bCs/>
                <w:i/>
                <w:iCs/>
                <w:szCs w:val="21"/>
              </w:rPr>
            </w:pPr>
          </w:p>
          <w:p w14:paraId="15A60C8A">
            <w:pPr>
              <w:pStyle w:val="35"/>
              <w:tabs>
                <w:tab w:val="left" w:pos="0"/>
              </w:tabs>
              <w:rPr>
                <w:rFonts w:cs="Times New Roman"/>
                <w:color w:val="000000"/>
                <w:szCs w:val="21"/>
              </w:rPr>
            </w:pPr>
            <w:r>
              <w:rPr>
                <w:rFonts w:hint="eastAsia" w:cs="Times New Roman"/>
                <w:color w:val="000000"/>
                <w:szCs w:val="21"/>
              </w:rPr>
              <w:t>6.4.16</w:t>
            </w:r>
            <w:r>
              <w:rPr>
                <w:rFonts w:hint="eastAsia" w:cs="Times New Roman"/>
                <w:color w:val="000000"/>
                <w:szCs w:val="21"/>
                <w:lang w:val="en-US" w:eastAsia="zh-CN"/>
              </w:rPr>
              <w:t xml:space="preserve"> </w:t>
            </w:r>
            <w:r>
              <w:rPr>
                <w:rFonts w:hint="eastAsia" w:cs="Times New Roman"/>
                <w:color w:val="000000"/>
                <w:szCs w:val="21"/>
              </w:rPr>
              <w:t>建筑与小区的透水铺装设计应符合下列规定:</w:t>
            </w:r>
          </w:p>
          <w:p w14:paraId="1E3BB704">
            <w:pPr>
              <w:pStyle w:val="35"/>
              <w:tabs>
                <w:tab w:val="left" w:pos="0"/>
              </w:tabs>
              <w:ind w:firstLine="420" w:firstLineChars="200"/>
              <w:rPr>
                <w:rFonts w:cs="Times New Roman"/>
                <w:color w:val="000000"/>
                <w:szCs w:val="21"/>
              </w:rPr>
            </w:pPr>
            <w:r>
              <w:rPr>
                <w:rFonts w:hint="eastAsia" w:cs="Times New Roman"/>
                <w:color w:val="000000"/>
                <w:szCs w:val="21"/>
              </w:rPr>
              <w:t>3 当透水铺装设置在地下室顶板上时，顶板覆土厚度应不小于600mm，并应设置排水板层或渗排水管；如地下室顶板采用反梁结构，应按本标准第6.4.6条执行。</w:t>
            </w:r>
          </w:p>
          <w:p w14:paraId="73E8E6B9">
            <w:pPr>
              <w:pStyle w:val="35"/>
              <w:tabs>
                <w:tab w:val="left" w:pos="0"/>
              </w:tabs>
              <w:rPr>
                <w:rFonts w:cs="Times New Roman"/>
                <w:color w:val="000000"/>
                <w:szCs w:val="21"/>
              </w:rPr>
            </w:pPr>
            <w:r>
              <w:rPr>
                <w:rFonts w:hint="eastAsia" w:cs="Times New Roman"/>
                <w:color w:val="000000"/>
                <w:szCs w:val="21"/>
              </w:rPr>
              <w:t>6.4.6 地下室顶板上部种植绿化应符合下列规定:</w:t>
            </w:r>
          </w:p>
          <w:p w14:paraId="48E831FB">
            <w:pPr>
              <w:pStyle w:val="35"/>
              <w:tabs>
                <w:tab w:val="left" w:pos="0"/>
              </w:tabs>
              <w:ind w:firstLine="420" w:firstLineChars="200"/>
              <w:rPr>
                <w:rFonts w:cs="Times New Roman"/>
                <w:color w:val="000000"/>
                <w:szCs w:val="21"/>
              </w:rPr>
            </w:pPr>
            <w:r>
              <w:rPr>
                <w:rFonts w:hint="eastAsia" w:cs="Times New Roman"/>
                <w:color w:val="000000"/>
                <w:szCs w:val="21"/>
              </w:rPr>
              <w:t>1 地下室顶板上覆土厚度应大于1.5m，地下室的顶板高程应低于地块周边道路地坪最高点标高1.0m以下。</w:t>
            </w:r>
          </w:p>
          <w:p w14:paraId="0ED23DE2">
            <w:pPr>
              <w:pStyle w:val="35"/>
              <w:tabs>
                <w:tab w:val="left" w:pos="420"/>
              </w:tabs>
              <w:ind w:firstLine="420" w:firstLineChars="200"/>
              <w:rPr>
                <w:rFonts w:cs="Times New Roman"/>
                <w:color w:val="000000"/>
                <w:szCs w:val="21"/>
              </w:rPr>
            </w:pPr>
            <w:r>
              <w:rPr>
                <w:rFonts w:hint="eastAsia" w:cs="Times New Roman"/>
                <w:color w:val="000000"/>
                <w:szCs w:val="21"/>
              </w:rPr>
              <w:t>2 地下建筑顶板采用反梁结构或坡度不足时，应在每仓各道反梁底部预留不少于2个贯通盲沟的孔洞，截面积应不小于100cm²，并应采取防堵塞措施；底部排蓄水的盲沟截面积应不小于300cm</w:t>
            </w:r>
            <w:r>
              <w:rPr>
                <w:rFonts w:hint="eastAsia" w:cs="Times New Roman"/>
                <w:color w:val="000000"/>
                <w:szCs w:val="21"/>
                <w:vertAlign w:val="superscript"/>
              </w:rPr>
              <w:t>2</w:t>
            </w:r>
            <w:r>
              <w:rPr>
                <w:rFonts w:hint="eastAsia" w:cs="Times New Roman"/>
                <w:color w:val="000000"/>
                <w:szCs w:val="21"/>
              </w:rPr>
              <w:t>。</w:t>
            </w:r>
          </w:p>
          <w:p w14:paraId="329CB675">
            <w:pPr>
              <w:pStyle w:val="35"/>
              <w:tabs>
                <w:tab w:val="left" w:pos="420"/>
              </w:tabs>
              <w:ind w:firstLine="420" w:firstLineChars="200"/>
              <w:rPr>
                <w:rFonts w:cs="Times New Roman"/>
                <w:color w:val="000000"/>
                <w:szCs w:val="21"/>
              </w:rPr>
            </w:pPr>
          </w:p>
          <w:p w14:paraId="4110788D">
            <w:pPr>
              <w:pStyle w:val="35"/>
              <w:tabs>
                <w:tab w:val="left" w:pos="0"/>
              </w:tabs>
              <w:rPr>
                <w:szCs w:val="21"/>
              </w:rPr>
            </w:pPr>
            <w:r>
              <w:rPr>
                <w:rFonts w:cs="Times New Roman" w:eastAsiaTheme="minorEastAsia"/>
                <w:b/>
                <w:bCs/>
                <w:kern w:val="0"/>
                <w:szCs w:val="21"/>
              </w:rPr>
              <w:t>《建筑与小区雨水控制及利用工程技术规范》GB 50400-2016</w:t>
            </w:r>
          </w:p>
          <w:p w14:paraId="2FED8F17">
            <w:pPr>
              <w:pStyle w:val="35"/>
              <w:tabs>
                <w:tab w:val="left" w:pos="420"/>
              </w:tabs>
            </w:pPr>
            <w:r>
              <w:rPr>
                <w:rFonts w:hint="eastAsia"/>
              </w:rPr>
              <w:t>7.2.1 雨水蓄水池、蓄水罐、弃流池应在室外设置。埋地拼装蓄水池外壁与建筑物外墙的净距不应小于3m。</w:t>
            </w:r>
          </w:p>
          <w:p w14:paraId="47974557">
            <w:pPr>
              <w:pStyle w:val="35"/>
              <w:tabs>
                <w:tab w:val="left" w:pos="420"/>
              </w:tabs>
              <w:rPr>
                <w:rFonts w:cs="Times New Roman"/>
                <w:b/>
                <w:bCs/>
                <w:i/>
                <w:iCs/>
                <w:szCs w:val="21"/>
              </w:rPr>
            </w:pPr>
            <w:r>
              <w:rPr>
                <w:rFonts w:hint="eastAsia" w:cs="Times New Roman"/>
                <w:b/>
                <w:bCs/>
                <w:i/>
                <w:iCs/>
                <w:szCs w:val="21"/>
              </w:rPr>
              <w:t>审查说明：雨水蓄水池（罐）设在室外而非室内能避免雨水淹入室内，保障排水安全。如确需设在室内，应有确保排水安全的措施。设置在室外的调蓄池应在建筑总平面图中明确平面位置、尺寸。</w:t>
            </w:r>
          </w:p>
        </w:tc>
      </w:tr>
      <w:tr w14:paraId="2C4EE5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386" w:type="pct"/>
            <w:tcBorders>
              <w:tl2br w:val="nil"/>
              <w:tr2bl w:val="nil"/>
            </w:tcBorders>
            <w:vAlign w:val="center"/>
          </w:tcPr>
          <w:p w14:paraId="2819002B">
            <w:pPr>
              <w:widowControl/>
              <w:numPr>
                <w:ilvl w:val="0"/>
                <w:numId w:val="3"/>
              </w:numPr>
              <w:ind w:firstLineChars="0"/>
              <w:contextualSpacing/>
              <w:jc w:val="center"/>
              <w:rPr>
                <w:rFonts w:eastAsia="黑体"/>
                <w:bCs/>
                <w:kern w:val="0"/>
                <w:szCs w:val="21"/>
              </w:rPr>
            </w:pPr>
          </w:p>
        </w:tc>
        <w:tc>
          <w:tcPr>
            <w:tcW w:w="650" w:type="pct"/>
            <w:tcBorders>
              <w:tl2br w:val="nil"/>
              <w:tr2bl w:val="nil"/>
            </w:tcBorders>
            <w:vAlign w:val="center"/>
          </w:tcPr>
          <w:p w14:paraId="62283834">
            <w:pPr>
              <w:ind w:firstLine="0" w:firstLineChars="0"/>
              <w:jc w:val="center"/>
              <w:rPr>
                <w:rFonts w:eastAsiaTheme="minorEastAsia" w:cstheme="minorEastAsia"/>
                <w:bCs/>
                <w:kern w:val="0"/>
                <w:szCs w:val="21"/>
              </w:rPr>
            </w:pPr>
            <w:r>
              <w:rPr>
                <w:rFonts w:hint="eastAsia" w:eastAsiaTheme="minorEastAsia" w:cstheme="minorEastAsia"/>
                <w:bCs/>
                <w:kern w:val="0"/>
                <w:szCs w:val="21"/>
              </w:rPr>
              <w:t>绿色屋顶、透水铺装</w:t>
            </w:r>
          </w:p>
        </w:tc>
        <w:tc>
          <w:tcPr>
            <w:tcW w:w="3962" w:type="pct"/>
            <w:tcBorders>
              <w:tl2br w:val="nil"/>
              <w:tr2bl w:val="nil"/>
            </w:tcBorders>
            <w:vAlign w:val="center"/>
          </w:tcPr>
          <w:p w14:paraId="3C0100C7">
            <w:pPr>
              <w:pStyle w:val="35"/>
              <w:tabs>
                <w:tab w:val="left" w:pos="420"/>
              </w:tabs>
              <w:rPr>
                <w:rFonts w:cs="Times New Roman"/>
                <w:b/>
                <w:bCs/>
                <w:szCs w:val="21"/>
              </w:rPr>
            </w:pPr>
            <w:r>
              <w:rPr>
                <w:rFonts w:cs="Times New Roman"/>
                <w:b/>
                <w:bCs/>
                <w:szCs w:val="21"/>
              </w:rPr>
              <w:t>《海绵城市规划与设计标准》DG/TJ 08-2298-2026</w:t>
            </w:r>
          </w:p>
          <w:p w14:paraId="0D879CA0">
            <w:pPr>
              <w:pStyle w:val="35"/>
              <w:tabs>
                <w:tab w:val="left" w:pos="420"/>
              </w:tabs>
              <w:rPr>
                <w:rFonts w:cs="Times New Roman" w:eastAsiaTheme="minorEastAsia"/>
                <w:szCs w:val="21"/>
              </w:rPr>
            </w:pPr>
            <w:r>
              <w:rPr>
                <w:rFonts w:hint="eastAsia" w:cs="Times New Roman" w:eastAsiaTheme="minorEastAsia"/>
                <w:szCs w:val="21"/>
              </w:rPr>
              <w:t>6.4.5 公共建筑的绿色屋顶率不宜低于30%，绿色屋顶的设计应满足现行行业标准《种植屋面工程技术规程》</w:t>
            </w:r>
            <w:r>
              <w:rPr>
                <w:rFonts w:cs="Times New Roman" w:eastAsiaTheme="minorEastAsia"/>
                <w:szCs w:val="21"/>
              </w:rPr>
              <w:t>JGJ 155-2013</w:t>
            </w:r>
            <w:r>
              <w:rPr>
                <w:rFonts w:hint="eastAsia" w:cs="Times New Roman" w:eastAsiaTheme="minorEastAsia"/>
                <w:szCs w:val="21"/>
              </w:rPr>
              <w:t>的相关规定，并应符合下列规定：</w:t>
            </w:r>
          </w:p>
          <w:p w14:paraId="39D11798">
            <w:pPr>
              <w:pStyle w:val="35"/>
              <w:tabs>
                <w:tab w:val="left" w:pos="0"/>
              </w:tabs>
              <w:ind w:firstLine="420" w:firstLineChars="200"/>
              <w:rPr>
                <w:rFonts w:hint="eastAsia" w:ascii="Times New Roman" w:hAnsi="Times New Roman" w:eastAsia="宋体" w:cs="Times New Roman"/>
                <w:color w:val="000000"/>
                <w:kern w:val="2"/>
                <w:szCs w:val="21"/>
              </w:rPr>
            </w:pPr>
            <w:r>
              <w:rPr>
                <w:rFonts w:hint="eastAsia" w:ascii="Times New Roman" w:hAnsi="Times New Roman" w:eastAsia="宋体" w:cs="Times New Roman"/>
                <w:color w:val="000000"/>
                <w:kern w:val="2"/>
                <w:szCs w:val="21"/>
              </w:rPr>
              <w:t>2 绿色屋顶雨水排放应设置过滤系统，避免覆土的流失。</w:t>
            </w:r>
          </w:p>
          <w:p w14:paraId="659F4E4A">
            <w:pPr>
              <w:pStyle w:val="35"/>
              <w:tabs>
                <w:tab w:val="left" w:pos="420"/>
              </w:tabs>
              <w:rPr>
                <w:rFonts w:cs="Times New Roman" w:eastAsiaTheme="minorEastAsia"/>
                <w:kern w:val="0"/>
                <w:szCs w:val="21"/>
              </w:rPr>
            </w:pPr>
            <w:r>
              <w:rPr>
                <w:rFonts w:hint="eastAsia" w:cs="Times New Roman" w:eastAsiaTheme="minorEastAsia"/>
                <w:kern w:val="0"/>
                <w:szCs w:val="21"/>
              </w:rPr>
              <w:t>6.4.14 透水铺装按照面层材料可分为透水沥青路面、透水水泥混凝土路面和透水砖路面，其设计应符合下列规定：</w:t>
            </w:r>
          </w:p>
          <w:p w14:paraId="075D28F3">
            <w:pPr>
              <w:pStyle w:val="35"/>
              <w:tabs>
                <w:tab w:val="left" w:pos="0"/>
              </w:tabs>
              <w:ind w:firstLine="420" w:firstLineChars="200"/>
              <w:rPr>
                <w:rFonts w:hint="eastAsia" w:ascii="Times New Roman" w:hAnsi="Times New Roman" w:eastAsia="宋体" w:cs="Times New Roman"/>
                <w:color w:val="000000"/>
                <w:kern w:val="2"/>
                <w:szCs w:val="21"/>
              </w:rPr>
            </w:pPr>
            <w:r>
              <w:rPr>
                <w:rFonts w:hint="eastAsia" w:ascii="Times New Roman" w:hAnsi="Times New Roman" w:eastAsia="宋体" w:cs="Times New Roman"/>
                <w:color w:val="000000"/>
                <w:kern w:val="2"/>
                <w:szCs w:val="21"/>
              </w:rPr>
              <w:t>1 应满足荷载、透水、防滑等使用功能和耐久性要求。</w:t>
            </w:r>
          </w:p>
          <w:p w14:paraId="188AFBCD">
            <w:pPr>
              <w:pStyle w:val="35"/>
              <w:tabs>
                <w:tab w:val="left" w:pos="0"/>
              </w:tabs>
              <w:ind w:firstLine="420" w:firstLineChars="200"/>
              <w:rPr>
                <w:rFonts w:hint="eastAsia" w:ascii="Times New Roman" w:hAnsi="Times New Roman" w:eastAsia="宋体" w:cs="Times New Roman"/>
                <w:color w:val="000000"/>
                <w:kern w:val="2"/>
                <w:szCs w:val="21"/>
              </w:rPr>
            </w:pPr>
            <w:r>
              <w:rPr>
                <w:rFonts w:hint="eastAsia" w:ascii="Times New Roman" w:hAnsi="Times New Roman" w:eastAsia="宋体" w:cs="Times New Roman"/>
                <w:color w:val="000000"/>
                <w:kern w:val="2"/>
                <w:szCs w:val="21"/>
              </w:rPr>
              <w:t>2 透水铺装结构层应由透水面层、基层、垫层组成，包括封层、找平层与反滤隔离层等功能层。</w:t>
            </w:r>
          </w:p>
          <w:p w14:paraId="2582F71D">
            <w:pPr>
              <w:pStyle w:val="35"/>
              <w:tabs>
                <w:tab w:val="left" w:pos="420"/>
              </w:tabs>
            </w:pPr>
            <w:r>
              <w:rPr>
                <w:rFonts w:hint="eastAsia" w:cs="Times New Roman"/>
                <w:b/>
                <w:bCs/>
                <w:i/>
                <w:iCs/>
                <w:szCs w:val="21"/>
              </w:rPr>
              <w:t>审查说明：透水铺装设计应明确荷载、防滑、透水性和耐久性等方面要求。根据《透水砖路面技术规程》CJJ/T188-2012，透水砖路面的合理使用年限宜为8年~10年。</w:t>
            </w:r>
          </w:p>
        </w:tc>
      </w:tr>
      <w:tr w14:paraId="44F822B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386" w:type="pct"/>
            <w:tcBorders>
              <w:tl2br w:val="nil"/>
              <w:tr2bl w:val="nil"/>
            </w:tcBorders>
            <w:vAlign w:val="center"/>
          </w:tcPr>
          <w:p w14:paraId="69CD3ADD">
            <w:pPr>
              <w:widowControl/>
              <w:numPr>
                <w:ilvl w:val="0"/>
                <w:numId w:val="3"/>
              </w:numPr>
              <w:ind w:firstLineChars="0"/>
              <w:contextualSpacing/>
              <w:jc w:val="center"/>
              <w:rPr>
                <w:rFonts w:eastAsia="黑体"/>
                <w:bCs/>
                <w:kern w:val="0"/>
                <w:szCs w:val="21"/>
              </w:rPr>
            </w:pPr>
          </w:p>
        </w:tc>
        <w:tc>
          <w:tcPr>
            <w:tcW w:w="650" w:type="pct"/>
            <w:tcBorders>
              <w:tl2br w:val="nil"/>
              <w:tr2bl w:val="nil"/>
            </w:tcBorders>
            <w:vAlign w:val="center"/>
          </w:tcPr>
          <w:p w14:paraId="01583284">
            <w:pPr>
              <w:ind w:firstLine="0" w:firstLineChars="0"/>
              <w:jc w:val="center"/>
              <w:rPr>
                <w:rFonts w:eastAsiaTheme="minorEastAsia" w:cstheme="minorEastAsia"/>
                <w:bCs/>
                <w:kern w:val="0"/>
                <w:szCs w:val="21"/>
              </w:rPr>
            </w:pPr>
            <w:r>
              <w:rPr>
                <w:rFonts w:hint="eastAsia" w:eastAsiaTheme="minorEastAsia" w:cstheme="minorEastAsia"/>
                <w:bCs/>
                <w:kern w:val="0"/>
                <w:szCs w:val="21"/>
              </w:rPr>
              <w:t>安全防护</w:t>
            </w:r>
          </w:p>
        </w:tc>
        <w:tc>
          <w:tcPr>
            <w:tcW w:w="3962" w:type="pct"/>
            <w:tcBorders>
              <w:tl2br w:val="nil"/>
              <w:tr2bl w:val="nil"/>
            </w:tcBorders>
            <w:vAlign w:val="center"/>
          </w:tcPr>
          <w:p w14:paraId="2F969997">
            <w:pPr>
              <w:pStyle w:val="35"/>
              <w:tabs>
                <w:tab w:val="left" w:pos="420"/>
              </w:tabs>
              <w:rPr>
                <w:rFonts w:cs="Times New Roman"/>
                <w:b/>
                <w:bCs/>
                <w:szCs w:val="21"/>
              </w:rPr>
            </w:pPr>
            <w:r>
              <w:rPr>
                <w:rFonts w:cs="Times New Roman"/>
                <w:b/>
                <w:bCs/>
                <w:szCs w:val="21"/>
              </w:rPr>
              <w:t>《海绵城市规划与设计标准》DG/TJ 08-2298-2026</w:t>
            </w:r>
          </w:p>
          <w:p w14:paraId="3F8F1311">
            <w:pPr>
              <w:pStyle w:val="35"/>
              <w:tabs>
                <w:tab w:val="left" w:pos="420"/>
              </w:tabs>
              <w:rPr>
                <w:rFonts w:cs="Times New Roman"/>
                <w:szCs w:val="21"/>
              </w:rPr>
            </w:pPr>
            <w:r>
              <w:rPr>
                <w:rFonts w:cs="Times New Roman"/>
                <w:szCs w:val="21"/>
              </w:rPr>
              <w:t>6.4.10</w:t>
            </w:r>
            <w:r>
              <w:rPr>
                <w:rFonts w:hint="eastAsia" w:cs="Times New Roman"/>
                <w:szCs w:val="21"/>
                <w:lang w:val="en-US" w:eastAsia="zh-CN"/>
              </w:rPr>
              <w:t xml:space="preserve"> </w:t>
            </w:r>
            <w:r>
              <w:rPr>
                <w:rFonts w:hint="eastAsia" w:cs="Times New Roman"/>
                <w:szCs w:val="21"/>
              </w:rPr>
              <w:t>生物滞留设施设计应符合下列规定：</w:t>
            </w:r>
          </w:p>
          <w:p w14:paraId="6EDB5704">
            <w:pPr>
              <w:pStyle w:val="35"/>
              <w:tabs>
                <w:tab w:val="left" w:pos="420"/>
              </w:tabs>
              <w:ind w:firstLine="420" w:firstLineChars="200"/>
              <w:rPr>
                <w:rFonts w:cs="Times New Roman"/>
                <w:szCs w:val="21"/>
              </w:rPr>
            </w:pPr>
            <w:r>
              <w:rPr>
                <w:rFonts w:cs="Times New Roman"/>
                <w:szCs w:val="21"/>
              </w:rPr>
              <w:t xml:space="preserve">8 </w:t>
            </w:r>
            <w:r>
              <w:rPr>
                <w:rFonts w:hint="eastAsia" w:cs="Times New Roman"/>
                <w:szCs w:val="21"/>
              </w:rPr>
              <w:t>当生物滞留设施等源头减排设施的蓄水层设计深度大于</w:t>
            </w:r>
            <w:r>
              <w:rPr>
                <w:rFonts w:cs="Times New Roman"/>
                <w:szCs w:val="21"/>
              </w:rPr>
              <w:t>300mm</w:t>
            </w:r>
            <w:r>
              <w:rPr>
                <w:rFonts w:hint="eastAsia" w:cs="Times New Roman"/>
                <w:szCs w:val="21"/>
              </w:rPr>
              <w:t>时，应设置固定围护栏杆或安全警示标志。</w:t>
            </w:r>
          </w:p>
          <w:p w14:paraId="6FA622E5">
            <w:pPr>
              <w:pStyle w:val="35"/>
              <w:tabs>
                <w:tab w:val="left" w:pos="420"/>
              </w:tabs>
              <w:ind w:firstLine="420" w:firstLineChars="200"/>
              <w:rPr>
                <w:rFonts w:cs="Times New Roman"/>
                <w:szCs w:val="21"/>
              </w:rPr>
            </w:pPr>
          </w:p>
          <w:p w14:paraId="5395A181">
            <w:pPr>
              <w:tabs>
                <w:tab w:val="left" w:pos="0"/>
              </w:tabs>
              <w:ind w:firstLine="0" w:firstLineChars="0"/>
              <w:rPr>
                <w:szCs w:val="21"/>
              </w:rPr>
            </w:pPr>
            <w:r>
              <w:rPr>
                <w:rFonts w:cs="Times New Roman" w:eastAsiaTheme="minorEastAsia"/>
                <w:b/>
                <w:bCs/>
                <w:szCs w:val="21"/>
                <w:shd w:val="clear" w:color="auto" w:fill="FFFFFF"/>
              </w:rPr>
              <w:t>《建筑与小区雨水控制及利用工程技术规范》GB 50400-2016</w:t>
            </w:r>
          </w:p>
          <w:p w14:paraId="2E61A483">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7.2.9 景观水体和湿塘用于储存雨水时，应符合下列规定：</w:t>
            </w:r>
          </w:p>
          <w:p w14:paraId="212C8BB3">
            <w:pPr>
              <w:tabs>
                <w:tab w:val="left" w:pos="0"/>
              </w:tabs>
              <w:autoSpaceDE w:val="0"/>
              <w:autoSpaceDN w:val="0"/>
              <w:adjustRightInd w:val="0"/>
              <w:ind w:firstLine="420"/>
              <w:jc w:val="left"/>
              <w:rPr>
                <w:rFonts w:hint="eastAsia" w:cs="Times New Roman" w:eastAsiaTheme="minorEastAsia"/>
                <w:szCs w:val="21"/>
                <w:highlight w:val="yellow"/>
                <w:shd w:val="clear" w:color="auto" w:fill="FFFFFF"/>
              </w:rPr>
            </w:pPr>
            <w:r>
              <w:rPr>
                <w:rFonts w:hint="eastAsia" w:cs="Times New Roman"/>
                <w:szCs w:val="21"/>
                <w:shd w:val="clear" w:color="auto" w:fill="FFFFFF"/>
              </w:rPr>
              <w:t xml:space="preserve">5 </w:t>
            </w:r>
            <w:r>
              <w:rPr>
                <w:rFonts w:hint="eastAsia" w:cs="Times New Roman" w:eastAsiaTheme="minorEastAsia"/>
                <w:szCs w:val="21"/>
                <w:shd w:val="clear" w:color="auto" w:fill="FFFFFF"/>
              </w:rPr>
              <w:t>湿塘应设置护栏、警示牌等安全防护与警示措施。</w:t>
            </w:r>
          </w:p>
        </w:tc>
      </w:tr>
    </w:tbl>
    <w:p w14:paraId="7E590518">
      <w:pPr>
        <w:pStyle w:val="4"/>
        <w:spacing w:before="312" w:beforeLines="100"/>
      </w:pPr>
      <w:bookmarkStart w:id="42" w:name="_Toc229573450"/>
      <w:bookmarkEnd w:id="42"/>
      <w:bookmarkStart w:id="43" w:name="_Toc31534"/>
      <w:bookmarkStart w:id="44" w:name="_Toc232627967"/>
      <w:bookmarkStart w:id="45" w:name="_Toc31316"/>
      <w:bookmarkStart w:id="46" w:name="_Toc313757408"/>
      <w:bookmarkStart w:id="47" w:name="_Toc19368"/>
      <w:r>
        <w:rPr>
          <w:rFonts w:hint="eastAsia"/>
        </w:rPr>
        <w:t>结构专业</w:t>
      </w:r>
      <w:bookmarkEnd w:id="43"/>
      <w:bookmarkEnd w:id="44"/>
      <w:bookmarkEnd w:id="45"/>
      <w:bookmarkEnd w:id="46"/>
      <w:bookmarkEnd w:id="47"/>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124"/>
        <w:gridCol w:w="6907"/>
      </w:tblGrid>
      <w:tr w14:paraId="13C220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95" w:type="pct"/>
            <w:tcBorders>
              <w:tl2br w:val="nil"/>
              <w:tr2bl w:val="nil"/>
            </w:tcBorders>
            <w:vAlign w:val="center"/>
          </w:tcPr>
          <w:p w14:paraId="38256D85">
            <w:pPr>
              <w:widowControl/>
              <w:ind w:firstLine="0" w:firstLineChars="0"/>
              <w:jc w:val="center"/>
              <w:rPr>
                <w:rFonts w:eastAsiaTheme="minorEastAsia" w:cstheme="minorEastAsia"/>
                <w:bCs/>
                <w:kern w:val="0"/>
                <w:szCs w:val="21"/>
              </w:rPr>
            </w:pPr>
            <w:r>
              <w:rPr>
                <w:rFonts w:hint="eastAsia" w:eastAsiaTheme="minorEastAsia" w:cstheme="minorEastAsia"/>
                <w:bCs/>
                <w:kern w:val="0"/>
                <w:szCs w:val="21"/>
              </w:rPr>
              <w:t>序号</w:t>
            </w:r>
          </w:p>
        </w:tc>
        <w:tc>
          <w:tcPr>
            <w:tcW w:w="644" w:type="pct"/>
            <w:tcBorders>
              <w:tl2br w:val="nil"/>
              <w:tr2bl w:val="nil"/>
            </w:tcBorders>
            <w:vAlign w:val="center"/>
          </w:tcPr>
          <w:p w14:paraId="0EE74E47">
            <w:pPr>
              <w:ind w:firstLine="0" w:firstLineChars="0"/>
              <w:jc w:val="center"/>
              <w:rPr>
                <w:rFonts w:eastAsiaTheme="minorEastAsia" w:cstheme="minorEastAsia"/>
                <w:bCs/>
                <w:kern w:val="0"/>
                <w:szCs w:val="21"/>
              </w:rPr>
            </w:pPr>
            <w:r>
              <w:rPr>
                <w:rFonts w:hint="eastAsia" w:eastAsiaTheme="minorEastAsia" w:cstheme="minorEastAsia"/>
                <w:bCs/>
                <w:kern w:val="0"/>
                <w:szCs w:val="21"/>
              </w:rPr>
              <w:t>审查项目</w:t>
            </w:r>
          </w:p>
        </w:tc>
        <w:tc>
          <w:tcPr>
            <w:tcW w:w="3959" w:type="pct"/>
            <w:tcBorders>
              <w:tl2br w:val="nil"/>
              <w:tr2bl w:val="nil"/>
            </w:tcBorders>
            <w:vAlign w:val="center"/>
          </w:tcPr>
          <w:p w14:paraId="5AB2ADCB">
            <w:pPr>
              <w:widowControl/>
              <w:ind w:firstLine="0" w:firstLineChars="0"/>
              <w:jc w:val="center"/>
              <w:rPr>
                <w:rFonts w:eastAsiaTheme="minorEastAsia" w:cstheme="minorEastAsia"/>
                <w:bCs/>
                <w:kern w:val="0"/>
                <w:szCs w:val="21"/>
              </w:rPr>
            </w:pPr>
            <w:r>
              <w:rPr>
                <w:rFonts w:hint="eastAsia" w:eastAsiaTheme="minorEastAsia" w:cstheme="minorEastAsia"/>
                <w:bCs/>
                <w:kern w:val="0"/>
                <w:szCs w:val="21"/>
              </w:rPr>
              <w:t>审查的标准及条文</w:t>
            </w:r>
          </w:p>
        </w:tc>
      </w:tr>
      <w:tr w14:paraId="239899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95" w:type="pct"/>
            <w:tcBorders>
              <w:tl2br w:val="nil"/>
              <w:tr2bl w:val="nil"/>
            </w:tcBorders>
            <w:vAlign w:val="center"/>
          </w:tcPr>
          <w:p w14:paraId="19726E49">
            <w:pPr>
              <w:widowControl/>
              <w:tabs>
                <w:tab w:val="left" w:pos="0"/>
              </w:tabs>
              <w:ind w:firstLine="0" w:firstLineChars="0"/>
              <w:contextualSpacing/>
              <w:jc w:val="center"/>
              <w:rPr>
                <w:rFonts w:eastAsia="黑体"/>
                <w:bCs/>
                <w:kern w:val="0"/>
                <w:szCs w:val="21"/>
              </w:rPr>
            </w:pPr>
            <w:r>
              <w:rPr>
                <w:rFonts w:hint="eastAsia" w:eastAsia="黑体"/>
                <w:bCs/>
                <w:kern w:val="0"/>
                <w:szCs w:val="21"/>
              </w:rPr>
              <w:t>1</w:t>
            </w:r>
          </w:p>
        </w:tc>
        <w:tc>
          <w:tcPr>
            <w:tcW w:w="644" w:type="pct"/>
            <w:tcBorders>
              <w:tl2br w:val="nil"/>
              <w:tr2bl w:val="nil"/>
            </w:tcBorders>
            <w:vAlign w:val="center"/>
          </w:tcPr>
          <w:p w14:paraId="55FDB75E">
            <w:pPr>
              <w:ind w:firstLine="0" w:firstLineChars="0"/>
              <w:jc w:val="center"/>
              <w:rPr>
                <w:rFonts w:eastAsiaTheme="minorEastAsia" w:cstheme="minorEastAsia"/>
                <w:szCs w:val="21"/>
              </w:rPr>
            </w:pPr>
            <w:r>
              <w:rPr>
                <w:rFonts w:hint="eastAsia" w:eastAsiaTheme="minorEastAsia" w:cstheme="minorEastAsia"/>
                <w:szCs w:val="21"/>
              </w:rPr>
              <w:t>海绵设施结构设计</w:t>
            </w:r>
          </w:p>
        </w:tc>
        <w:tc>
          <w:tcPr>
            <w:tcW w:w="3959" w:type="pct"/>
            <w:tcBorders>
              <w:tl2br w:val="nil"/>
              <w:tr2bl w:val="nil"/>
            </w:tcBorders>
            <w:vAlign w:val="center"/>
          </w:tcPr>
          <w:p w14:paraId="01706A9E">
            <w:pPr>
              <w:pStyle w:val="35"/>
              <w:tabs>
                <w:tab w:val="left" w:pos="0"/>
              </w:tabs>
            </w:pPr>
            <w:r>
              <w:rPr>
                <w:rFonts w:hint="eastAsia"/>
                <w:b/>
                <w:bCs/>
              </w:rPr>
              <w:t>《种植屋面工程技术规程》JGJ 155-2013</w:t>
            </w:r>
          </w:p>
          <w:p w14:paraId="50B6DE3A">
            <w:pPr>
              <w:pStyle w:val="35"/>
              <w:tabs>
                <w:tab w:val="left" w:pos="0"/>
              </w:tabs>
            </w:pPr>
            <w:r>
              <w:rPr>
                <w:rFonts w:hint="eastAsia"/>
              </w:rPr>
              <w:t>3.2.4 种植屋面荷载取值应符合现行国家标准《建筑结构荷载规范》</w:t>
            </w:r>
            <w:r>
              <w:t>GB50009</w:t>
            </w:r>
            <w:r>
              <w:rPr>
                <w:rFonts w:hint="eastAsia"/>
              </w:rPr>
              <w:t>-2012的规定。屋顶花园有特殊要求时，应单独计算结构荷载。</w:t>
            </w:r>
          </w:p>
          <w:p w14:paraId="12784512">
            <w:pPr>
              <w:pStyle w:val="35"/>
              <w:tabs>
                <w:tab w:val="left" w:pos="0"/>
              </w:tabs>
              <w:rPr>
                <w:b/>
                <w:bCs/>
              </w:rPr>
            </w:pPr>
          </w:p>
          <w:p w14:paraId="2AFE74FE">
            <w:pPr>
              <w:pStyle w:val="35"/>
              <w:tabs>
                <w:tab w:val="left" w:pos="0"/>
              </w:tabs>
              <w:rPr>
                <w:b/>
                <w:bCs/>
              </w:rPr>
            </w:pPr>
            <w:r>
              <w:rPr>
                <w:rFonts w:hint="eastAsia"/>
                <w:b/>
                <w:bCs/>
              </w:rPr>
              <w:t>《给水排水工程构筑物结构设计规范》GB 50069-2002</w:t>
            </w:r>
          </w:p>
          <w:p w14:paraId="7EDB099D">
            <w:pPr>
              <w:pStyle w:val="35"/>
              <w:tabs>
                <w:tab w:val="left" w:pos="0"/>
              </w:tabs>
            </w:pPr>
            <w:r>
              <w:rPr>
                <w:rFonts w:hint="eastAsia"/>
              </w:rPr>
              <w:t>4.2.3</w:t>
            </w:r>
            <w:r>
              <w:rPr>
                <w:rFonts w:hint="eastAsia"/>
                <w:lang w:val="en-US" w:eastAsia="zh-CN"/>
              </w:rPr>
              <w:t xml:space="preserve"> </w:t>
            </w:r>
            <w:r>
              <w:rPr>
                <w:rFonts w:hint="eastAsia"/>
              </w:rPr>
              <w:t>作用在地下构筑物上竖向土压力标准值，应按下式计算：</w:t>
            </w:r>
          </w:p>
          <w:p w14:paraId="340CC7F8">
            <w:pPr>
              <w:pStyle w:val="35"/>
              <w:tabs>
                <w:tab w:val="left" w:pos="0"/>
              </w:tabs>
              <w:rPr>
                <w:rFonts w:eastAsiaTheme="minorEastAsia" w:cstheme="minorEastAsia"/>
                <w:bCs/>
                <w:i/>
                <w:szCs w:val="21"/>
              </w:rPr>
            </w:pPr>
            <w:bookmarkStart w:id="48" w:name="OLE_LINK3"/>
            <w:bookmarkStart w:id="49" w:name="OLE_LINK7"/>
            <m:oMathPara>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ascii="Cambria Math" w:hAnsi="Cambria Math" w:eastAsia="Cambria Math" w:cs="Cambria Math"/>
                        <w:szCs w:val="21"/>
                      </w:rPr>
                      <m:t>s</m:t>
                    </m:r>
                    <m:r>
                      <m:rPr/>
                      <w:rPr>
                        <w:rFonts w:ascii="Cambria Math" w:hAnsi="Cambria Math" w:cs="Cambria Math" w:eastAsiaTheme="minorEastAsia"/>
                        <w:szCs w:val="21"/>
                      </w:rPr>
                      <m:t>v,k</m:t>
                    </m:r>
                    <w:bookmarkEnd w:id="48"/>
                    <m:ctrlPr>
                      <w:rPr>
                        <w:rFonts w:ascii="Cambria Math" w:hAnsi="Cambria Math" w:eastAsia="Cambria Math" w:cs="Cambria Math"/>
                        <w:i/>
                        <w:szCs w:val="21"/>
                      </w:rPr>
                    </m:ctrlPr>
                  </m:sub>
                </m:sSub>
                <m:r>
                  <m:rPr>
                    <m:sty m:val="p"/>
                  </m:rPr>
                  <w:rPr>
                    <w:rFonts w:ascii="Cambria Math" w:hAnsi="Cambria Math" w:eastAsia="Cambria Math" w:cs="Cambria Math"/>
                    <w:szCs w:val="21"/>
                  </w:rPr>
                  <m:t>=</m:t>
                </m:r>
                <w:bookmarkStart w:id="50" w:name="OLE_LINK4"/>
                <m:sSub>
                  <m:sSubPr>
                    <m:ctrlPr>
                      <w:rPr>
                        <w:rFonts w:ascii="Cambria Math" w:hAnsi="Cambria Math" w:cs="宋体"/>
                        <w:bCs/>
                        <w:i/>
                        <w:szCs w:val="21"/>
                      </w:rPr>
                    </m:ctrlPr>
                  </m:sSubPr>
                  <m:e>
                    <m:r>
                      <m:rPr/>
                      <w:rPr>
                        <w:rFonts w:ascii="Cambria Math" w:hAnsi="Cambria Math" w:cs="宋体"/>
                        <w:szCs w:val="21"/>
                      </w:rPr>
                      <m:t>n</m:t>
                    </m:r>
                    <m:ctrlPr>
                      <w:rPr>
                        <w:rFonts w:ascii="Cambria Math" w:hAnsi="Cambria Math" w:cs="宋体"/>
                        <w:bCs/>
                        <w:i/>
                        <w:szCs w:val="21"/>
                      </w:rPr>
                    </m:ctrlPr>
                  </m:e>
                  <m:sub>
                    <m:r>
                      <m:rPr/>
                      <w:rPr>
                        <w:rFonts w:ascii="Cambria Math" w:hAnsi="Cambria Math" w:cs="宋体"/>
                        <w:szCs w:val="21"/>
                      </w:rPr>
                      <m:t>s</m:t>
                    </m:r>
                    <w:bookmarkEnd w:id="50"/>
                    <m:ctrlPr>
                      <w:rPr>
                        <w:rFonts w:ascii="Cambria Math" w:hAnsi="Cambria Math" w:cs="宋体"/>
                        <w:bCs/>
                        <w:i/>
                        <w:szCs w:val="21"/>
                      </w:rPr>
                    </m:ctrlPr>
                  </m:sub>
                </m:sSub>
                <w:bookmarkStart w:id="51" w:name="OLE_LINK5"/>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m:t>
                    </m:r>
                    <w:bookmarkEnd w:id="51"/>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H</m:t>
                    </m:r>
                    <m:ctrlPr>
                      <w:rPr>
                        <w:rFonts w:ascii="Cambria Math" w:hAnsi="Cambria Math" w:cs="宋体"/>
                        <w:bCs/>
                        <w:i/>
                        <w:szCs w:val="21"/>
                      </w:rPr>
                    </m:ctrlPr>
                  </m:e>
                  <m:sub>
                    <m:r>
                      <m:rPr/>
                      <w:rPr>
                        <w:rFonts w:ascii="Cambria Math" w:hAnsi="Cambria Math" w:cs="宋体"/>
                        <w:szCs w:val="21"/>
                      </w:rPr>
                      <m:t>s</m:t>
                    </m:r>
                    <w:bookmarkEnd w:id="49"/>
                    <m:ctrlPr>
                      <w:rPr>
                        <w:rFonts w:ascii="Cambria Math" w:hAnsi="Cambria Math" w:cs="宋体"/>
                        <w:bCs/>
                        <w:i/>
                        <w:szCs w:val="21"/>
                      </w:rPr>
                    </m:ctrlPr>
                  </m:sub>
                </m:sSub>
              </m:oMath>
            </m:oMathPara>
          </w:p>
          <w:p w14:paraId="6960395A">
            <w:pPr>
              <w:pStyle w:val="35"/>
              <w:tabs>
                <w:tab w:val="left" w:pos="0"/>
              </w:tabs>
              <w:rPr>
                <w:rFonts w:cstheme="minorEastAsia"/>
                <w:bCs/>
                <w:szCs w:val="21"/>
              </w:rPr>
            </w:pPr>
            <w:r>
              <w:rPr>
                <w:rFonts w:hint="eastAsia" w:cstheme="minorEastAsia"/>
                <w:bCs/>
                <w:szCs w:val="21"/>
              </w:rPr>
              <w:t>式中：</w:t>
            </w:r>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ascii="Cambria Math" w:hAnsi="Cambria Math" w:eastAsia="Cambria Math" w:cs="Cambria Math"/>
                      <w:szCs w:val="21"/>
                    </w:rPr>
                    <m:t>s</m:t>
                  </m:r>
                  <m:r>
                    <m:rPr/>
                    <w:rPr>
                      <w:rFonts w:ascii="Cambria Math" w:hAnsi="Cambria Math" w:cs="Cambria Math" w:eastAsiaTheme="minorEastAsia"/>
                      <w:szCs w:val="21"/>
                    </w:rPr>
                    <m:t>v,k</m:t>
                  </m:r>
                  <m:ctrlPr>
                    <w:rPr>
                      <w:rFonts w:ascii="Cambria Math" w:hAnsi="Cambria Math" w:eastAsia="Cambria Math" w:cs="Cambria Math"/>
                      <w:i/>
                      <w:szCs w:val="21"/>
                    </w:rPr>
                  </m:ctrlPr>
                </m:sub>
              </m:sSub>
            </m:oMath>
            <w:r>
              <w:rPr>
                <w:rFonts w:hint="eastAsia" w:cstheme="minorEastAsia"/>
                <w:bCs/>
                <w:szCs w:val="21"/>
              </w:rPr>
              <w:t>——竖向土压力（kN/m</w:t>
            </w:r>
            <w:r>
              <w:rPr>
                <w:rFonts w:hint="eastAsia" w:cstheme="minorEastAsia"/>
                <w:bCs/>
                <w:szCs w:val="21"/>
                <w:vertAlign w:val="superscript"/>
              </w:rPr>
              <w:t>2</w:t>
            </w:r>
            <w:r>
              <w:rPr>
                <w:rFonts w:hint="eastAsia" w:cstheme="minorEastAsia"/>
                <w:bCs/>
                <w:szCs w:val="21"/>
              </w:rPr>
              <w:t>）；</w:t>
            </w:r>
          </w:p>
          <w:p w14:paraId="2B851DBE">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n</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oMath>
            <w:r>
              <w:rPr>
                <w:rFonts w:hint="eastAsia" w:cstheme="minorEastAsia"/>
                <w:bCs/>
                <w:szCs w:val="21"/>
              </w:rPr>
              <w:t>——竖向土压力系数，一般可取1.0，当构筑物的平面尺寸长宽比大于10时，宜取1.2；</w:t>
            </w:r>
          </w:p>
          <w:p w14:paraId="2CD2D904">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oMath>
            <w:r>
              <w:rPr>
                <w:rFonts w:hint="eastAsia" w:cstheme="minorEastAsia"/>
                <w:bCs/>
                <w:szCs w:val="21"/>
              </w:rPr>
              <w:t>——回填土的重力密度</w:t>
            </w:r>
            <w:r>
              <w:rPr>
                <w:rFonts w:hint="eastAsia" w:cstheme="minorEastAsia"/>
                <w:bCs/>
                <w:szCs w:val="21"/>
                <w:lang w:eastAsia="zh-CN"/>
              </w:rPr>
              <w:t>（</w:t>
            </w:r>
            <w:r>
              <w:rPr>
                <w:rFonts w:hint="eastAsia" w:cstheme="minorEastAsia"/>
                <w:bCs/>
                <w:szCs w:val="21"/>
              </w:rPr>
              <w:t>kN/m</w:t>
            </w:r>
            <w:r>
              <w:rPr>
                <w:rFonts w:hint="eastAsia" w:cstheme="minorEastAsia"/>
                <w:bCs/>
                <w:szCs w:val="21"/>
                <w:vertAlign w:val="superscript"/>
              </w:rPr>
              <w:t>3</w:t>
            </w:r>
            <w:r>
              <w:rPr>
                <w:rFonts w:hint="eastAsia" w:cstheme="minorEastAsia"/>
                <w:bCs/>
                <w:szCs w:val="21"/>
                <w:lang w:eastAsia="zh-CN"/>
              </w:rPr>
              <w:t>）</w:t>
            </w:r>
            <w:r>
              <w:rPr>
                <w:rFonts w:hint="eastAsia" w:cstheme="minorEastAsia"/>
                <w:bCs/>
                <w:szCs w:val="21"/>
              </w:rPr>
              <w:t>；可按18kN/m</w:t>
            </w:r>
            <w:r>
              <w:rPr>
                <w:rFonts w:cstheme="minorEastAsia"/>
                <w:bCs/>
                <w:szCs w:val="21"/>
                <w:vertAlign w:val="superscript"/>
              </w:rPr>
              <w:t>3</w:t>
            </w:r>
            <w:r>
              <w:rPr>
                <w:rFonts w:hint="eastAsia" w:cstheme="minorEastAsia"/>
                <w:bCs/>
                <w:szCs w:val="21"/>
              </w:rPr>
              <w:t>采用；</w:t>
            </w:r>
          </w:p>
          <w:p w14:paraId="2FDC43DF">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H</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oMath>
            <w:r>
              <w:rPr>
                <w:rFonts w:hint="eastAsia" w:cstheme="minorEastAsia"/>
                <w:bCs/>
                <w:szCs w:val="21"/>
              </w:rPr>
              <w:t>——</w:t>
            </w:r>
            <w:r>
              <w:rPr>
                <w:rFonts w:hint="eastAsia"/>
              </w:rPr>
              <w:t>地下构筑物顶板上的覆土高度</w:t>
            </w:r>
            <w:r>
              <w:rPr>
                <w:rFonts w:hint="eastAsia"/>
                <w:lang w:eastAsia="zh-CN"/>
              </w:rPr>
              <w:t>（</w:t>
            </w:r>
            <w:r>
              <w:rPr>
                <w:rFonts w:hint="eastAsia"/>
              </w:rPr>
              <w:t>m</w:t>
            </w:r>
            <w:r>
              <w:rPr>
                <w:rFonts w:hint="eastAsia"/>
                <w:lang w:eastAsia="zh-CN"/>
              </w:rPr>
              <w:t>）</w:t>
            </w:r>
            <w:r>
              <w:rPr>
                <w:rFonts w:hint="eastAsia" w:cstheme="minorEastAsia"/>
                <w:bCs/>
                <w:szCs w:val="21"/>
              </w:rPr>
              <w:t>。</w:t>
            </w:r>
          </w:p>
          <w:p w14:paraId="30249E8D">
            <w:pPr>
              <w:tabs>
                <w:tab w:val="left" w:pos="0"/>
              </w:tabs>
              <w:ind w:firstLine="0" w:firstLineChars="0"/>
              <w:rPr>
                <w:rFonts w:cstheme="minorEastAsia"/>
                <w:b/>
                <w:i/>
                <w:iCs/>
                <w:szCs w:val="21"/>
              </w:rPr>
            </w:pPr>
            <w:r>
              <w:rPr>
                <w:rFonts w:hint="eastAsia" w:cstheme="minorEastAsia"/>
                <w:b/>
                <w:i/>
                <w:iCs/>
                <w:szCs w:val="21"/>
              </w:rPr>
              <w:t>审查说明：对作用在地下构筑物上的侧向土压力标准值，本要点明确按《给水排水工程构筑物结构设计规范》GB50069-2002第4.2.3条采用主动土压力计算。对雨水调蓄池等独立埋置的地下水池如采用自重抗浮，水池顶板与侧壁整体现浇的，鉴于顶板对侧壁约束较大，建议侧向土压力参照上海市《地基基础设计标准》DGJ08-11-2018第12.3.5条对地下建筑外墙的规定，按静止土压力计算。</w:t>
            </w:r>
          </w:p>
          <w:p w14:paraId="07E34737">
            <w:pPr>
              <w:tabs>
                <w:tab w:val="left" w:pos="0"/>
              </w:tabs>
              <w:ind w:firstLine="0" w:firstLineChars="0"/>
              <w:rPr>
                <w:rFonts w:cstheme="minorEastAsia"/>
                <w:b/>
                <w:i/>
                <w:iCs/>
                <w:szCs w:val="21"/>
              </w:rPr>
            </w:pPr>
          </w:p>
          <w:p w14:paraId="352FC11A">
            <w:pPr>
              <w:tabs>
                <w:tab w:val="left" w:pos="0"/>
              </w:tabs>
              <w:ind w:firstLine="0" w:firstLineChars="0"/>
              <w:rPr>
                <w:rFonts w:cstheme="minorEastAsia"/>
                <w:b/>
                <w:szCs w:val="21"/>
              </w:rPr>
            </w:pPr>
            <w:r>
              <w:rPr>
                <w:rFonts w:hint="eastAsia" w:cstheme="minorEastAsia"/>
                <w:b/>
                <w:szCs w:val="21"/>
              </w:rPr>
              <w:t>《地基基础设计标准》DGJ08-11-2018</w:t>
            </w:r>
          </w:p>
          <w:p w14:paraId="040FDE29">
            <w:pPr>
              <w:tabs>
                <w:tab w:val="left" w:pos="0"/>
              </w:tabs>
              <w:ind w:firstLine="0" w:firstLineChars="0"/>
              <w:rPr>
                <w:rFonts w:cstheme="minorEastAsia"/>
                <w:bCs/>
                <w:szCs w:val="21"/>
              </w:rPr>
            </w:pPr>
            <w:r>
              <w:rPr>
                <w:rFonts w:hint="eastAsia" w:cstheme="minorEastAsia"/>
                <w:bCs/>
                <w:szCs w:val="21"/>
              </w:rPr>
              <w:t>12.3.5 地下建筑外墙应按下述规定进行使用阶段承载能力极限状态和正常使用极限状态验算：</w:t>
            </w:r>
          </w:p>
          <w:p w14:paraId="6FCA8AF5">
            <w:pPr>
              <w:tabs>
                <w:tab w:val="left" w:pos="0"/>
              </w:tabs>
              <w:ind w:firstLine="420"/>
              <w:rPr>
                <w:rFonts w:cstheme="minorEastAsia"/>
                <w:bCs/>
                <w:szCs w:val="21"/>
              </w:rPr>
            </w:pPr>
            <w:r>
              <w:rPr>
                <w:rFonts w:hint="eastAsia" w:cstheme="minorEastAsia"/>
                <w:bCs/>
                <w:szCs w:val="21"/>
              </w:rPr>
              <w:t>1 作用在外墙上的荷载应考虑由回填土、地下水、地面附加荷载所引起的侧向作用，无专门规定时侧向土压力应按静止土压力计算;当地下建筑外的围护桩</w:t>
            </w:r>
            <w:r>
              <w:rPr>
                <w:rFonts w:hint="eastAsia" w:cstheme="minorEastAsia"/>
                <w:bCs/>
                <w:szCs w:val="21"/>
                <w:lang w:eastAsia="zh-CN"/>
              </w:rPr>
              <w:t>（</w:t>
            </w:r>
            <w:r>
              <w:rPr>
                <w:rFonts w:hint="eastAsia" w:cstheme="minorEastAsia"/>
                <w:bCs/>
                <w:szCs w:val="21"/>
              </w:rPr>
              <w:t>墙</w:t>
            </w:r>
            <w:r>
              <w:rPr>
                <w:rFonts w:hint="eastAsia" w:cstheme="minorEastAsia"/>
                <w:bCs/>
                <w:szCs w:val="21"/>
                <w:lang w:eastAsia="zh-CN"/>
              </w:rPr>
              <w:t>）</w:t>
            </w:r>
            <w:r>
              <w:rPr>
                <w:rFonts w:hint="eastAsia" w:cstheme="minorEastAsia"/>
                <w:bCs/>
                <w:szCs w:val="21"/>
              </w:rPr>
              <w:t>保留完好时，可根据工程经验对侧向土压力适当折减。</w:t>
            </w:r>
          </w:p>
          <w:p w14:paraId="4841BE75">
            <w:pPr>
              <w:tabs>
                <w:tab w:val="left" w:pos="0"/>
              </w:tabs>
              <w:ind w:firstLine="420"/>
              <w:rPr>
                <w:rFonts w:cstheme="minorEastAsia"/>
                <w:bCs/>
                <w:szCs w:val="21"/>
              </w:rPr>
            </w:pPr>
            <w:r>
              <w:rPr>
                <w:rFonts w:hint="eastAsia" w:cstheme="minorEastAsia"/>
                <w:bCs/>
                <w:szCs w:val="21"/>
              </w:rPr>
              <w:t>2 进行外墙内力分析时，应根据其约束情况选取符合实际受力状态的计算简图，并按弹性理论计算。</w:t>
            </w:r>
          </w:p>
          <w:p w14:paraId="1D34663F">
            <w:pPr>
              <w:tabs>
                <w:tab w:val="left" w:pos="0"/>
              </w:tabs>
              <w:ind w:firstLine="0" w:firstLineChars="0"/>
              <w:rPr>
                <w:rFonts w:cstheme="minorEastAsia"/>
                <w:bCs/>
                <w:szCs w:val="21"/>
              </w:rPr>
            </w:pPr>
          </w:p>
          <w:p w14:paraId="7E434D42">
            <w:pPr>
              <w:pStyle w:val="35"/>
              <w:tabs>
                <w:tab w:val="left" w:pos="0"/>
              </w:tabs>
              <w:rPr>
                <w:b/>
                <w:bCs/>
              </w:rPr>
            </w:pPr>
            <w:r>
              <w:rPr>
                <w:rFonts w:hint="eastAsia"/>
                <w:b/>
                <w:bCs/>
              </w:rPr>
              <w:t>《给水排水工程构筑物结构设计规范》GB 50069-2002</w:t>
            </w:r>
          </w:p>
          <w:p w14:paraId="76F7DD07">
            <w:pPr>
              <w:ind w:firstLine="0" w:firstLineChars="0"/>
              <w:rPr>
                <w:rFonts w:cstheme="minorEastAsia"/>
                <w:bCs/>
                <w:szCs w:val="21"/>
              </w:rPr>
            </w:pPr>
            <w:r>
              <w:rPr>
                <w:rFonts w:hint="eastAsia" w:cstheme="minorEastAsia"/>
                <w:bCs/>
                <w:szCs w:val="21"/>
              </w:rPr>
              <w:t>4.2.4</w:t>
            </w:r>
            <w:r>
              <w:rPr>
                <w:rFonts w:hint="eastAsia" w:cstheme="minorEastAsia"/>
                <w:bCs/>
                <w:szCs w:val="21"/>
                <w:lang w:val="en-US" w:eastAsia="zh-CN"/>
              </w:rPr>
              <w:t xml:space="preserve"> </w:t>
            </w:r>
            <w:r>
              <w:rPr>
                <w:rFonts w:hint="eastAsia" w:cstheme="minorEastAsia"/>
                <w:bCs/>
                <w:szCs w:val="21"/>
              </w:rPr>
              <w:t>作用在开槽施工地下构筑物上的侧向土压力标准值，应按下列规定确定</w:t>
            </w:r>
            <w:r>
              <w:rPr>
                <w:rFonts w:hint="eastAsia" w:cstheme="minorEastAsia"/>
                <w:bCs/>
                <w:szCs w:val="21"/>
                <w:lang w:eastAsia="zh-CN"/>
              </w:rPr>
              <w:t>（</w:t>
            </w:r>
            <w:r>
              <w:rPr>
                <w:rFonts w:hint="eastAsia" w:cstheme="minorEastAsia"/>
                <w:bCs/>
                <w:szCs w:val="21"/>
              </w:rPr>
              <w:t>图4.2.4</w:t>
            </w:r>
            <w:r>
              <w:rPr>
                <w:rFonts w:hint="eastAsia" w:cstheme="minorEastAsia"/>
                <w:bCs/>
                <w:szCs w:val="21"/>
                <w:lang w:eastAsia="zh-CN"/>
              </w:rPr>
              <w:t>）</w:t>
            </w:r>
            <w:r>
              <w:rPr>
                <w:rFonts w:hint="eastAsia" w:cstheme="minorEastAsia"/>
                <w:bCs/>
                <w:szCs w:val="21"/>
              </w:rPr>
              <w:t>：</w:t>
            </w:r>
          </w:p>
          <w:p w14:paraId="1DE73FB8">
            <w:pPr>
              <w:tabs>
                <w:tab w:val="left" w:pos="0"/>
              </w:tabs>
              <w:ind w:firstLine="420"/>
              <w:rPr>
                <w:rFonts w:cstheme="minorEastAsia"/>
                <w:bCs/>
                <w:szCs w:val="21"/>
              </w:rPr>
            </w:pPr>
            <w:r>
              <w:rPr>
                <w:rFonts w:hint="eastAsia" w:cstheme="minorEastAsia"/>
                <w:bCs/>
                <w:szCs w:val="21"/>
              </w:rPr>
              <w:t>1 应按主动土压力计算；</w:t>
            </w:r>
          </w:p>
          <w:p w14:paraId="4B843828">
            <w:pPr>
              <w:tabs>
                <w:tab w:val="left" w:pos="0"/>
              </w:tabs>
              <w:ind w:firstLine="420"/>
              <w:rPr>
                <w:rFonts w:hint="eastAsia" w:eastAsia="宋体" w:cstheme="minorEastAsia"/>
                <w:bCs/>
                <w:szCs w:val="21"/>
                <w:lang w:eastAsia="zh-CN"/>
              </w:rPr>
            </w:pPr>
            <w:r>
              <w:rPr>
                <w:rFonts w:hint="eastAsia" w:cstheme="minorEastAsia"/>
                <w:bCs/>
                <w:szCs w:val="21"/>
              </w:rPr>
              <w:t>2 当地面平整、构筑物位于地下水位以上部分的主动土压力标准值可按下式计算</w:t>
            </w:r>
            <w:r>
              <w:rPr>
                <w:rFonts w:hint="eastAsia" w:cstheme="minorEastAsia"/>
                <w:bCs/>
                <w:szCs w:val="21"/>
                <w:lang w:eastAsia="zh-CN"/>
              </w:rPr>
              <w:t>（</w:t>
            </w:r>
            <w:r>
              <w:rPr>
                <w:rFonts w:hint="eastAsia" w:cstheme="minorEastAsia"/>
                <w:bCs/>
                <w:szCs w:val="21"/>
              </w:rPr>
              <w:t>图4.2.4</w:t>
            </w:r>
            <w:r>
              <w:rPr>
                <w:rFonts w:hint="eastAsia" w:cstheme="minorEastAsia"/>
                <w:bCs/>
                <w:szCs w:val="21"/>
                <w:lang w:eastAsia="zh-CN"/>
              </w:rPr>
              <w:t>）：</w:t>
            </w:r>
          </w:p>
          <w:p w14:paraId="2A6B26DB">
            <w:pPr>
              <w:tabs>
                <w:tab w:val="left" w:pos="0"/>
              </w:tabs>
              <w:ind w:firstLine="0" w:firstLineChars="0"/>
              <w:jc w:val="center"/>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p,k</m:t>
                  </m:r>
                  <m:ctrlPr>
                    <w:rPr>
                      <w:rFonts w:ascii="Cambria Math" w:hAnsi="Cambria Math" w:eastAsia="Cambria Math" w:cs="Cambria Math"/>
                      <w:i/>
                      <w:szCs w:val="21"/>
                    </w:rPr>
                  </m:ctrlPr>
                </m:sub>
              </m:sSub>
              <m:r>
                <m:rPr>
                  <m:sty m:val="p"/>
                </m:rPr>
                <w:rPr>
                  <w:rFonts w:ascii="Cambria Math" w:hAnsi="Cambria Math" w:eastAsia="Cambria Math" w:cs="Cambria Math"/>
                  <w:szCs w:val="21"/>
                </w:rPr>
                <m:t>=</m:t>
              </m:r>
              <m:sSub>
                <m:sSubPr>
                  <m:ctrlPr>
                    <w:rPr>
                      <w:rFonts w:ascii="Cambria Math" w:hAnsi="Cambria Math" w:cs="宋体"/>
                      <w:bCs/>
                      <w:i/>
                      <w:szCs w:val="21"/>
                    </w:rPr>
                  </m:ctrlPr>
                </m:sSubPr>
                <m:e>
                  <m:r>
                    <m:rPr/>
                    <w:rPr>
                      <w:rFonts w:ascii="Cambria Math" w:hAnsi="Cambria Math" w:cs="宋体"/>
                      <w:szCs w:val="21"/>
                    </w:rPr>
                    <m:t>K</m:t>
                  </m:r>
                  <m:ctrlPr>
                    <w:rPr>
                      <w:rFonts w:ascii="Cambria Math" w:hAnsi="Cambria Math" w:cs="宋体"/>
                      <w:bCs/>
                      <w:i/>
                      <w:szCs w:val="21"/>
                    </w:rPr>
                  </m:ctrlPr>
                </m:e>
                <m:sub>
                  <m:r>
                    <m:rPr/>
                    <w:rPr>
                      <w:rFonts w:hint="eastAsia" w:ascii="Cambria Math" w:hAnsi="Cambria Math" w:cs="宋体"/>
                      <w:szCs w:val="21"/>
                    </w:rPr>
                    <m:t>a</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r>
                <m:rPr/>
                <w:rPr>
                  <w:rFonts w:ascii="Cambria Math" w:hAnsi="Cambria Math" w:cs="宋体"/>
                  <w:szCs w:val="21"/>
                </w:rPr>
                <m:t>z</m:t>
              </m:r>
            </m:oMath>
            <w:r>
              <w:rPr>
                <w:rFonts w:hint="eastAsia" w:cstheme="minorEastAsia"/>
                <w:szCs w:val="21"/>
              </w:rPr>
              <w:t>（4.2.4-1）</w:t>
            </w:r>
          </w:p>
          <w:p w14:paraId="6BBE6E9B">
            <w:pPr>
              <w:tabs>
                <w:tab w:val="left" w:pos="0"/>
              </w:tabs>
              <w:ind w:firstLine="420"/>
              <w:rPr>
                <w:rFonts w:hint="eastAsia" w:eastAsia="宋体" w:cstheme="minorEastAsia"/>
                <w:bCs/>
                <w:szCs w:val="21"/>
                <w:lang w:eastAsia="zh-CN"/>
              </w:rPr>
            </w:pPr>
            <w:r>
              <w:rPr>
                <w:rFonts w:hint="eastAsia" w:cstheme="minorEastAsia"/>
                <w:bCs/>
                <w:szCs w:val="21"/>
              </w:rPr>
              <w:t>构筑物位于地下水位以下部分的侧壁上的压力应为主动土压力与地下水静水压力之和，此时主动土压力标准值可按下式计算</w:t>
            </w:r>
            <w:r>
              <w:rPr>
                <w:rFonts w:hint="eastAsia" w:cstheme="minorEastAsia"/>
                <w:bCs/>
                <w:szCs w:val="21"/>
                <w:lang w:eastAsia="zh-CN"/>
              </w:rPr>
              <w:t>（</w:t>
            </w:r>
            <w:r>
              <w:rPr>
                <w:rFonts w:hint="eastAsia" w:cstheme="minorEastAsia"/>
                <w:bCs/>
                <w:szCs w:val="21"/>
              </w:rPr>
              <w:t>图4.2.4</w:t>
            </w:r>
            <w:r>
              <w:rPr>
                <w:rFonts w:hint="eastAsia" w:cstheme="minorEastAsia"/>
                <w:bCs/>
                <w:szCs w:val="21"/>
                <w:lang w:eastAsia="zh-CN"/>
              </w:rPr>
              <w:t>）：</w:t>
            </w:r>
          </w:p>
          <w:p w14:paraId="03A6225A">
            <w:pPr>
              <w:tabs>
                <w:tab w:val="left" w:pos="0"/>
              </w:tabs>
              <w:ind w:firstLine="0" w:firstLineChars="0"/>
              <w:jc w:val="center"/>
              <w:rPr>
                <w:rFonts w:cstheme="minorEastAsia"/>
                <w:bCs/>
                <w:szCs w:val="21"/>
              </w:rPr>
            </w:pPr>
            <w:bookmarkStart w:id="98" w:name="_GoBack"/>
            <w:r>
              <w:rPr>
                <w:rFonts w:cstheme="minorEastAsia"/>
                <w:bCs/>
                <w:szCs w:val="21"/>
              </w:rPr>
              <w:drawing>
                <wp:inline distT="0" distB="0" distL="0" distR="0">
                  <wp:extent cx="3894455" cy="3001645"/>
                  <wp:effectExtent l="0" t="0" r="0" b="8255"/>
                  <wp:docPr id="5737043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04379"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905086" cy="3010094"/>
                          </a:xfrm>
                          <a:prstGeom prst="rect">
                            <a:avLst/>
                          </a:prstGeom>
                          <a:noFill/>
                          <a:ln>
                            <a:noFill/>
                          </a:ln>
                        </pic:spPr>
                      </pic:pic>
                    </a:graphicData>
                  </a:graphic>
                </wp:inline>
              </w:drawing>
            </w:r>
            <w:bookmarkEnd w:id="98"/>
          </w:p>
          <w:p w14:paraId="17809BDB">
            <w:pPr>
              <w:tabs>
                <w:tab w:val="left" w:pos="0"/>
              </w:tabs>
              <w:ind w:firstLine="0" w:firstLineChars="0"/>
              <w:jc w:val="center"/>
              <w:rPr>
                <w:rFonts w:cstheme="minorEastAsia"/>
                <w:bCs/>
                <w:szCs w:val="21"/>
              </w:rPr>
            </w:pPr>
            <m:oMath>
              <m:sSub>
                <w:bookmarkStart w:id="52" w:name="OLE_LINK8"/>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p,k</m:t>
                  </m:r>
                  <w:bookmarkEnd w:id="52"/>
                  <m:ctrlPr>
                    <w:rPr>
                      <w:rFonts w:ascii="Cambria Math" w:hAnsi="Cambria Math" w:eastAsia="Cambria Math" w:cs="Cambria Math"/>
                      <w:i/>
                      <w:szCs w:val="21"/>
                    </w:rPr>
                  </m:ctrlPr>
                </m:sub>
              </m:sSub>
              <m:r>
                <m:rPr>
                  <m:sty m:val="p"/>
                </m:rPr>
                <w:rPr>
                  <w:rFonts w:ascii="Cambria Math" w:hAnsi="Cambria Math" w:eastAsia="Cambria Math" w:cs="Cambria Math"/>
                  <w:szCs w:val="21"/>
                </w:rPr>
                <m:t>=</m:t>
              </m:r>
              <w:bookmarkStart w:id="53" w:name="OLE_LINK12"/>
              <m:sSub>
                <m:sSubPr>
                  <m:ctrlPr>
                    <w:rPr>
                      <w:rFonts w:ascii="Cambria Math" w:hAnsi="Cambria Math" w:cs="宋体"/>
                      <w:bCs/>
                      <w:i/>
                      <w:szCs w:val="21"/>
                    </w:rPr>
                  </m:ctrlPr>
                </m:sSubPr>
                <m:e>
                  <m:r>
                    <m:rPr/>
                    <w:rPr>
                      <w:rFonts w:ascii="Cambria Math" w:hAnsi="Cambria Math" w:cs="宋体"/>
                      <w:szCs w:val="21"/>
                    </w:rPr>
                    <m:t>K</m:t>
                  </m:r>
                  <m:ctrlPr>
                    <w:rPr>
                      <w:rFonts w:ascii="Cambria Math" w:hAnsi="Cambria Math" w:cs="宋体"/>
                      <w:bCs/>
                      <w:i/>
                      <w:szCs w:val="21"/>
                    </w:rPr>
                  </m:ctrlPr>
                </m:e>
                <m:sub>
                  <m:r>
                    <m:rPr/>
                    <w:rPr>
                      <w:rFonts w:hint="eastAsia" w:ascii="Cambria Math" w:hAnsi="Cambria Math" w:cs="宋体"/>
                      <w:szCs w:val="21"/>
                    </w:rPr>
                    <m:t>a</m:t>
                  </m:r>
                  <w:bookmarkEnd w:id="53"/>
                  <m:ctrlPr>
                    <w:rPr>
                      <w:rFonts w:ascii="Cambria Math" w:hAnsi="Cambria Math" w:cs="宋体"/>
                      <w:bCs/>
                      <w:i/>
                      <w:szCs w:val="21"/>
                    </w:rPr>
                  </m:ctrlPr>
                </m:sub>
              </m:sSub>
              <m:d>
                <m:dPr>
                  <m:begChr m:val="["/>
                  <m:endChr m:val="]"/>
                  <m:ctrlPr>
                    <w:rPr>
                      <w:rFonts w:ascii="Cambria Math" w:hAnsi="Cambria Math" w:cs="宋体"/>
                      <w:bCs/>
                      <w:i/>
                      <w:szCs w:val="21"/>
                    </w:rPr>
                  </m:ctrlPr>
                </m:dPr>
                <m:e>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z</m:t>
                      </m:r>
                      <m:ctrlPr>
                        <w:rPr>
                          <w:rFonts w:ascii="Cambria Math" w:hAnsi="Cambria Math" w:cs="宋体"/>
                          <w:bCs/>
                          <w:i/>
                          <w:szCs w:val="21"/>
                        </w:rPr>
                      </m:ctrlPr>
                    </m:e>
                    <m:sub>
                      <m:r>
                        <m:rPr/>
                        <w:rPr>
                          <w:rFonts w:ascii="Cambria Math" w:hAnsi="Cambria Math" w:cs="宋体"/>
                          <w:szCs w:val="21"/>
                        </w:rPr>
                        <m:t>w</m:t>
                      </m:r>
                      <m:ctrlPr>
                        <w:rPr>
                          <w:rFonts w:ascii="Cambria Math" w:hAnsi="Cambria Math" w:cs="宋体"/>
                          <w:bCs/>
                          <w:i/>
                          <w:szCs w:val="21"/>
                        </w:rPr>
                      </m:ctrlPr>
                    </m:sub>
                  </m:sSub>
                  <m:r>
                    <m:rPr/>
                    <w:rPr>
                      <w:rFonts w:ascii="Cambria Math" w:hAnsi="Cambria Math" w:cs="宋体"/>
                      <w:szCs w:val="21"/>
                    </w:rPr>
                    <m:t>+</m:t>
                  </m:r>
                  <m:sSub>
                    <m:sSubPr>
                      <m:ctrlPr>
                        <w:rPr>
                          <w:rFonts w:ascii="Cambria Math" w:hAnsi="Cambria Math" w:cs="宋体"/>
                          <w:bCs/>
                          <w:i/>
                          <w:szCs w:val="21"/>
                        </w:rPr>
                      </m:ctrlPr>
                    </m:sSubPr>
                    <m:e>
                      <m:sSup>
                        <m:sSupPr>
                          <m:ctrlPr>
                            <w:rPr>
                              <w:rFonts w:ascii="Cambria Math" w:hAnsi="Cambria Math" w:cs="宋体"/>
                              <w:bCs/>
                              <w:i/>
                              <w:szCs w:val="21"/>
                            </w:rPr>
                          </m:ctrlPr>
                        </m:sSupPr>
                        <m:e>
                          <m:r>
                            <m:rPr/>
                            <w:rPr>
                              <w:rFonts w:ascii="Cambria Math" w:hAnsi="Cambria Math" w:cs="宋体"/>
                              <w:szCs w:val="21"/>
                            </w:rPr>
                            <m:t>γ</m:t>
                          </m:r>
                          <m:ctrlPr>
                            <w:rPr>
                              <w:rFonts w:ascii="Cambria Math" w:hAnsi="Cambria Math" w:cs="宋体"/>
                              <w:bCs/>
                              <w:i/>
                              <w:szCs w:val="21"/>
                            </w:rPr>
                          </m:ctrlPr>
                        </m:e>
                        <m:sup>
                          <m:r>
                            <m:rPr/>
                            <w:rPr>
                              <w:rFonts w:ascii="Cambria Math" w:hAnsi="Cambria Math" w:cs="宋体"/>
                              <w:szCs w:val="21"/>
                            </w:rPr>
                            <m:t>'</m:t>
                          </m:r>
                          <m:ctrlPr>
                            <w:rPr>
                              <w:rFonts w:ascii="Cambria Math" w:hAnsi="Cambria Math" w:cs="宋体"/>
                              <w:bCs/>
                              <w:i/>
                              <w:szCs w:val="21"/>
                            </w:rPr>
                          </m:ctrlPr>
                        </m:sup>
                      </m:sSup>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r>
                    <m:rPr/>
                    <w:rPr>
                      <w:rFonts w:hint="eastAsia" w:ascii="Cambria Math" w:hAnsi="Cambria Math" w:cs="宋体"/>
                      <w:szCs w:val="21"/>
                    </w:rPr>
                    <m:t>（</m:t>
                  </m:r>
                  <m:r>
                    <m:rPr/>
                    <w:rPr>
                      <w:rFonts w:ascii="Cambria Math" w:hAnsi="Cambria Math" w:cs="宋体"/>
                      <w:szCs w:val="21"/>
                    </w:rPr>
                    <m:t>z−</m:t>
                  </m:r>
                  <m:sSub>
                    <w:bookmarkStart w:id="54" w:name="OLE_LINK14"/>
                    <m:sSubPr>
                      <m:ctrlPr>
                        <w:rPr>
                          <w:rFonts w:ascii="Cambria Math" w:hAnsi="Cambria Math" w:cs="宋体"/>
                          <w:bCs/>
                          <w:i/>
                          <w:szCs w:val="21"/>
                        </w:rPr>
                      </m:ctrlPr>
                    </m:sSubPr>
                    <m:e>
                      <m:r>
                        <m:rPr/>
                        <w:rPr>
                          <w:rFonts w:ascii="Cambria Math" w:hAnsi="Cambria Math" w:cs="宋体"/>
                          <w:szCs w:val="21"/>
                        </w:rPr>
                        <m:t>z</m:t>
                      </m:r>
                      <m:ctrlPr>
                        <w:rPr>
                          <w:rFonts w:ascii="Cambria Math" w:hAnsi="Cambria Math" w:cs="宋体"/>
                          <w:bCs/>
                          <w:i/>
                          <w:szCs w:val="21"/>
                        </w:rPr>
                      </m:ctrlPr>
                    </m:e>
                    <m:sub>
                      <m:r>
                        <m:rPr/>
                        <w:rPr>
                          <w:rFonts w:ascii="Cambria Math" w:hAnsi="Cambria Math" w:cs="宋体"/>
                          <w:szCs w:val="21"/>
                        </w:rPr>
                        <m:t>w</m:t>
                      </m:r>
                      <w:bookmarkEnd w:id="54"/>
                      <m:ctrlPr>
                        <w:rPr>
                          <w:rFonts w:ascii="Cambria Math" w:hAnsi="Cambria Math" w:cs="宋体"/>
                          <w:bCs/>
                          <w:i/>
                          <w:szCs w:val="21"/>
                        </w:rPr>
                      </m:ctrlPr>
                    </m:sub>
                  </m:sSub>
                  <m:r>
                    <m:rPr/>
                    <w:rPr>
                      <w:rFonts w:hint="eastAsia" w:ascii="Cambria Math" w:hAnsi="Cambria Math" w:cs="宋体"/>
                      <w:szCs w:val="21"/>
                    </w:rPr>
                    <m:t>）</m:t>
                  </m:r>
                  <m:ctrlPr>
                    <w:rPr>
                      <w:rFonts w:ascii="Cambria Math" w:hAnsi="Cambria Math" w:cs="宋体"/>
                      <w:bCs/>
                      <w:i/>
                      <w:szCs w:val="21"/>
                    </w:rPr>
                  </m:ctrlPr>
                </m:e>
              </m:d>
            </m:oMath>
            <w:r>
              <w:rPr>
                <w:rFonts w:hint="eastAsia" w:cstheme="minorEastAsia"/>
                <w:bCs/>
                <w:szCs w:val="21"/>
              </w:rPr>
              <w:t>（4.2.4-2）</w:t>
            </w:r>
          </w:p>
          <w:p w14:paraId="3BE7ED23">
            <w:pPr>
              <w:pStyle w:val="35"/>
              <w:tabs>
                <w:tab w:val="left" w:pos="0"/>
              </w:tabs>
              <w:rPr>
                <w:rFonts w:cstheme="minorEastAsia"/>
                <w:bCs/>
                <w:szCs w:val="21"/>
              </w:rPr>
            </w:pPr>
            <w:bookmarkStart w:id="55" w:name="OLE_LINK16"/>
            <w:r>
              <w:rPr>
                <w:rFonts w:hint="eastAsia" w:cstheme="minorEastAsia"/>
                <w:bCs/>
                <w:szCs w:val="21"/>
              </w:rPr>
              <w:t>式中：</w:t>
            </w:r>
            <m:oMath>
              <m:sSub>
                <w:bookmarkStart w:id="56" w:name="OLE_LINK11"/>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p,k</m:t>
                  </m:r>
                  <m:ctrlPr>
                    <w:rPr>
                      <w:rFonts w:ascii="Cambria Math" w:hAnsi="Cambria Math" w:eastAsia="Cambria Math" w:cs="Cambria Math"/>
                      <w:i/>
                      <w:szCs w:val="21"/>
                    </w:rPr>
                  </m:ctrlPr>
                </m:sub>
              </m:sSub>
            </m:oMath>
            <w:r>
              <w:rPr>
                <w:rFonts w:hint="eastAsia" w:cstheme="minorEastAsia"/>
                <w:bCs/>
                <w:szCs w:val="21"/>
              </w:rPr>
              <w:t>——地下水位以上的主动土压力（kN/m</w:t>
            </w:r>
            <w:r>
              <w:rPr>
                <w:rFonts w:hint="eastAsia" w:cstheme="minorEastAsia"/>
                <w:bCs/>
                <w:szCs w:val="21"/>
                <w:vertAlign w:val="superscript"/>
              </w:rPr>
              <w:t>2</w:t>
            </w:r>
            <w:r>
              <w:rPr>
                <w:rFonts w:hint="eastAsia" w:cstheme="minorEastAsia"/>
                <w:bCs/>
                <w:szCs w:val="21"/>
              </w:rPr>
              <w:t>）；</w:t>
            </w:r>
            <w:bookmarkEnd w:id="56"/>
          </w:p>
          <w:p w14:paraId="4B81239E">
            <w:pPr>
              <w:pStyle w:val="35"/>
              <w:tabs>
                <w:tab w:val="left" w:pos="0"/>
              </w:tabs>
              <w:ind w:left="630" w:leftChars="300"/>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p,k</m:t>
                  </m:r>
                  <m:ctrlPr>
                    <w:rPr>
                      <w:rFonts w:ascii="Cambria Math" w:hAnsi="Cambria Math" w:eastAsia="Cambria Math" w:cs="Cambria Math"/>
                      <w:i/>
                      <w:szCs w:val="21"/>
                    </w:rPr>
                  </m:ctrlPr>
                </m:sub>
              </m:sSub>
            </m:oMath>
            <w:r>
              <w:rPr>
                <w:rFonts w:hint="eastAsia" w:cstheme="minorEastAsia"/>
                <w:bCs/>
                <w:szCs w:val="21"/>
              </w:rPr>
              <w:t>——地下水位以下的主动土压力（kN/m</w:t>
            </w:r>
            <w:r>
              <w:rPr>
                <w:rFonts w:hint="eastAsia" w:cstheme="minorEastAsia"/>
                <w:bCs/>
                <w:szCs w:val="21"/>
                <w:vertAlign w:val="superscript"/>
              </w:rPr>
              <w:t>2</w:t>
            </w:r>
            <w:r>
              <w:rPr>
                <w:rFonts w:hint="eastAsia" w:cstheme="minorEastAsia"/>
                <w:bCs/>
                <w:szCs w:val="21"/>
              </w:rPr>
              <w:t>）；</w:t>
            </w:r>
          </w:p>
          <w:bookmarkEnd w:id="55"/>
          <w:p w14:paraId="34403E50">
            <w:pPr>
              <w:pStyle w:val="35"/>
              <w:tabs>
                <w:tab w:val="left" w:pos="0"/>
              </w:tabs>
              <w:ind w:left="630" w:leftChars="300"/>
              <w:rPr>
                <w:rFonts w:cstheme="minorEastAsia"/>
                <w:bCs/>
                <w:i/>
                <w:szCs w:val="21"/>
              </w:rPr>
            </w:pPr>
            <m:oMath>
              <m:sSub>
                <m:sSubPr>
                  <m:ctrlPr>
                    <w:rPr>
                      <w:rFonts w:ascii="Cambria Math" w:hAnsi="Cambria Math" w:cs="宋体"/>
                      <w:bCs/>
                      <w:i/>
                      <w:szCs w:val="21"/>
                    </w:rPr>
                  </m:ctrlPr>
                </m:sSubPr>
                <m:e>
                  <m:r>
                    <m:rPr/>
                    <w:rPr>
                      <w:rFonts w:ascii="Cambria Math" w:hAnsi="Cambria Math" w:cs="宋体"/>
                      <w:szCs w:val="21"/>
                    </w:rPr>
                    <m:t>K</m:t>
                  </m:r>
                  <m:ctrlPr>
                    <w:rPr>
                      <w:rFonts w:ascii="Cambria Math" w:hAnsi="Cambria Math" w:cs="宋体"/>
                      <w:bCs/>
                      <w:i/>
                      <w:szCs w:val="21"/>
                    </w:rPr>
                  </m:ctrlPr>
                </m:e>
                <m:sub>
                  <m:r>
                    <m:rPr/>
                    <w:rPr>
                      <w:rFonts w:hint="eastAsia" w:ascii="Cambria Math" w:hAnsi="Cambria Math" w:cs="宋体"/>
                      <w:szCs w:val="21"/>
                    </w:rPr>
                    <m:t>a</m:t>
                  </m:r>
                  <m:ctrlPr>
                    <w:rPr>
                      <w:rFonts w:ascii="Cambria Math" w:hAnsi="Cambria Math" w:cs="宋体"/>
                      <w:bCs/>
                      <w:i/>
                      <w:szCs w:val="21"/>
                    </w:rPr>
                  </m:ctrlPr>
                </m:sub>
              </m:sSub>
            </m:oMath>
            <w:r>
              <w:rPr>
                <w:rFonts w:hint="eastAsia" w:cstheme="minorEastAsia"/>
                <w:bCs/>
                <w:szCs w:val="21"/>
              </w:rPr>
              <w:t>——主动土压力系数，应根据土的抗剪强度确定，当缺乏试验资料时，对砂类土或粉土可取</w:t>
            </w:r>
            <w:bookmarkStart w:id="57" w:name="OLE_LINK13"/>
            <m:oMath>
              <m:f>
                <m:fPr>
                  <m:ctrlPr>
                    <w:rPr>
                      <w:rFonts w:ascii="Cambria Math" w:hAnsi="Cambria Math" w:cstheme="minorEastAsia"/>
                      <w:bCs/>
                      <w:i/>
                      <w:sz w:val="24"/>
                    </w:rPr>
                  </m:ctrlPr>
                </m:fPr>
                <m:num>
                  <m:r>
                    <m:rPr/>
                    <w:rPr>
                      <w:rFonts w:ascii="Cambria Math" w:hAnsi="Cambria Math" w:cstheme="minorEastAsia"/>
                      <w:sz w:val="24"/>
                    </w:rPr>
                    <m:t>1</m:t>
                  </m:r>
                  <m:ctrlPr>
                    <w:rPr>
                      <w:rFonts w:ascii="Cambria Math" w:hAnsi="Cambria Math" w:cstheme="minorEastAsia"/>
                      <w:bCs/>
                      <w:i/>
                      <w:sz w:val="24"/>
                    </w:rPr>
                  </m:ctrlPr>
                </m:num>
                <m:den>
                  <m:r>
                    <m:rPr/>
                    <w:rPr>
                      <w:rFonts w:ascii="Cambria Math" w:hAnsi="Cambria Math" w:cstheme="minorEastAsia"/>
                      <w:sz w:val="24"/>
                    </w:rPr>
                    <m:t>3</m:t>
                  </m:r>
                  <w:bookmarkEnd w:id="57"/>
                  <m:ctrlPr>
                    <w:rPr>
                      <w:rFonts w:ascii="Cambria Math" w:hAnsi="Cambria Math" w:cstheme="minorEastAsia"/>
                      <w:bCs/>
                      <w:i/>
                      <w:sz w:val="24"/>
                    </w:rPr>
                  </m:ctrlPr>
                </m:den>
              </m:f>
            </m:oMath>
            <w:r>
              <w:rPr>
                <w:rFonts w:hint="eastAsia" w:cstheme="minorEastAsia"/>
                <w:bCs/>
                <w:sz w:val="24"/>
              </w:rPr>
              <w:t>；</w:t>
            </w:r>
            <w:r>
              <w:rPr>
                <w:rFonts w:hint="eastAsia" w:cstheme="minorEastAsia"/>
                <w:bCs/>
                <w:szCs w:val="21"/>
              </w:rPr>
              <w:t>对粘性土可取</w:t>
            </w:r>
            <m:oMath>
              <m:f>
                <m:fPr>
                  <m:ctrlPr>
                    <w:rPr>
                      <w:rFonts w:ascii="Cambria Math" w:hAnsi="Cambria Math" w:cstheme="minorEastAsia"/>
                      <w:bCs/>
                      <w:i/>
                      <w:sz w:val="24"/>
                    </w:rPr>
                  </m:ctrlPr>
                </m:fPr>
                <m:num>
                  <m:r>
                    <m:rPr/>
                    <w:rPr>
                      <w:rFonts w:ascii="Cambria Math" w:hAnsi="Cambria Math" w:cstheme="minorEastAsia"/>
                      <w:sz w:val="24"/>
                    </w:rPr>
                    <m:t>1</m:t>
                  </m:r>
                  <m:ctrlPr>
                    <w:rPr>
                      <w:rFonts w:ascii="Cambria Math" w:hAnsi="Cambria Math" w:cstheme="minorEastAsia"/>
                      <w:bCs/>
                      <w:i/>
                      <w:sz w:val="24"/>
                    </w:rPr>
                  </m:ctrlPr>
                </m:num>
                <m:den>
                  <m:r>
                    <m:rPr/>
                    <w:rPr>
                      <w:rFonts w:ascii="Cambria Math" w:hAnsi="Cambria Math" w:cstheme="minorEastAsia"/>
                      <w:sz w:val="24"/>
                    </w:rPr>
                    <m:t>3</m:t>
                  </m:r>
                  <m:ctrlPr>
                    <w:rPr>
                      <w:rFonts w:ascii="Cambria Math" w:hAnsi="Cambria Math" w:cstheme="minorEastAsia"/>
                      <w:bCs/>
                      <w:i/>
                      <w:sz w:val="24"/>
                    </w:rPr>
                  </m:ctrlPr>
                </m:den>
              </m:f>
            </m:oMath>
            <w:r>
              <w:rPr>
                <w:rFonts w:hint="eastAsia" w:cstheme="minorEastAsia"/>
                <w:bCs/>
                <w:sz w:val="24"/>
              </w:rPr>
              <w:t xml:space="preserve"> </w:t>
            </w:r>
            <w:r>
              <w:rPr>
                <w:rFonts w:hint="eastAsia" w:cstheme="minorEastAsia"/>
                <w:bCs/>
                <w:szCs w:val="21"/>
              </w:rPr>
              <w:t xml:space="preserve">~ </w:t>
            </w:r>
            <m:oMath>
              <m:f>
                <m:fPr>
                  <m:ctrlPr>
                    <w:rPr>
                      <w:rFonts w:ascii="Cambria Math" w:hAnsi="Cambria Math" w:cstheme="minorEastAsia"/>
                      <w:bCs/>
                      <w:i/>
                      <w:sz w:val="24"/>
                    </w:rPr>
                  </m:ctrlPr>
                </m:fPr>
                <m:num>
                  <m:r>
                    <m:rPr/>
                    <w:rPr>
                      <w:rFonts w:ascii="Cambria Math" w:hAnsi="Cambria Math" w:cstheme="minorEastAsia"/>
                      <w:sz w:val="24"/>
                    </w:rPr>
                    <m:t>1</m:t>
                  </m:r>
                  <m:ctrlPr>
                    <w:rPr>
                      <w:rFonts w:ascii="Cambria Math" w:hAnsi="Cambria Math" w:cstheme="minorEastAsia"/>
                      <w:bCs/>
                      <w:i/>
                      <w:sz w:val="24"/>
                    </w:rPr>
                  </m:ctrlPr>
                </m:num>
                <m:den>
                  <m:r>
                    <m:rPr/>
                    <w:rPr>
                      <w:rFonts w:ascii="Cambria Math" w:hAnsi="Cambria Math" w:cstheme="minorEastAsia"/>
                      <w:sz w:val="24"/>
                    </w:rPr>
                    <m:t>4</m:t>
                  </m:r>
                  <m:ctrlPr>
                    <w:rPr>
                      <w:rFonts w:ascii="Cambria Math" w:hAnsi="Cambria Math" w:cstheme="minorEastAsia"/>
                      <w:bCs/>
                      <w:i/>
                      <w:sz w:val="24"/>
                    </w:rPr>
                  </m:ctrlPr>
                </m:den>
              </m:f>
            </m:oMath>
            <w:r>
              <w:rPr>
                <w:rFonts w:hint="eastAsia" w:cstheme="minorEastAsia"/>
                <w:bCs/>
                <w:sz w:val="24"/>
              </w:rPr>
              <w:t>；</w:t>
            </w:r>
          </w:p>
          <w:p w14:paraId="1FA35BB4">
            <w:pPr>
              <w:pStyle w:val="35"/>
              <w:tabs>
                <w:tab w:val="left" w:pos="0"/>
              </w:tabs>
              <w:ind w:left="630" w:leftChars="300"/>
              <w:rPr>
                <w:rFonts w:cstheme="minorEastAsia"/>
                <w:bCs/>
                <w:szCs w:val="21"/>
              </w:rPr>
            </w:pPr>
            <w:r>
              <w:rPr>
                <w:rFonts w:hint="eastAsia" w:cstheme="minorEastAsia"/>
                <w:bCs/>
                <w:szCs w:val="21"/>
              </w:rPr>
              <w:t>z——自地面至计算截面处的深度</w:t>
            </w:r>
            <w:r>
              <w:rPr>
                <w:rFonts w:hint="eastAsia" w:cstheme="minorEastAsia"/>
                <w:bCs/>
                <w:szCs w:val="21"/>
                <w:lang w:eastAsia="zh-CN"/>
              </w:rPr>
              <w:t>（</w:t>
            </w:r>
            <w:r>
              <w:rPr>
                <w:rFonts w:hint="eastAsia" w:cstheme="minorEastAsia"/>
                <w:bCs/>
                <w:szCs w:val="21"/>
              </w:rPr>
              <w:t>m</w:t>
            </w:r>
            <w:r>
              <w:rPr>
                <w:rFonts w:hint="eastAsia" w:cstheme="minorEastAsia"/>
                <w:bCs/>
                <w:szCs w:val="21"/>
                <w:lang w:eastAsia="zh-CN"/>
              </w:rPr>
              <w:t>）</w:t>
            </w:r>
            <w:r>
              <w:rPr>
                <w:rFonts w:hint="eastAsia" w:cstheme="minorEastAsia"/>
                <w:bCs/>
                <w:szCs w:val="21"/>
              </w:rPr>
              <w:t>；</w:t>
            </w:r>
          </w:p>
          <w:p w14:paraId="5901DDA8">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z</m:t>
                  </m:r>
                  <m:ctrlPr>
                    <w:rPr>
                      <w:rFonts w:ascii="Cambria Math" w:hAnsi="Cambria Math" w:cs="宋体"/>
                      <w:bCs/>
                      <w:i/>
                      <w:szCs w:val="21"/>
                    </w:rPr>
                  </m:ctrlPr>
                </m:e>
                <m:sub>
                  <m:r>
                    <m:rPr/>
                    <w:rPr>
                      <w:rFonts w:ascii="Cambria Math" w:hAnsi="Cambria Math" w:cs="宋体"/>
                      <w:szCs w:val="21"/>
                    </w:rPr>
                    <m:t>w</m:t>
                  </m:r>
                  <m:ctrlPr>
                    <w:rPr>
                      <w:rFonts w:ascii="Cambria Math" w:hAnsi="Cambria Math" w:cs="宋体"/>
                      <w:bCs/>
                      <w:i/>
                      <w:szCs w:val="21"/>
                    </w:rPr>
                  </m:ctrlPr>
                </m:sub>
              </m:sSub>
            </m:oMath>
            <w:bookmarkStart w:id="58" w:name="OLE_LINK15"/>
            <w:r>
              <w:rPr>
                <w:rFonts w:hint="eastAsia" w:cstheme="minorEastAsia"/>
                <w:bCs/>
                <w:szCs w:val="21"/>
              </w:rPr>
              <w:t>——</w:t>
            </w:r>
            <w:r>
              <w:rPr>
                <w:rFonts w:hint="eastAsia"/>
              </w:rPr>
              <w:t>自地面至地下水位的距离</w:t>
            </w:r>
            <w:r>
              <w:rPr>
                <w:rFonts w:hint="eastAsia" w:cstheme="minorEastAsia"/>
                <w:bCs/>
                <w:szCs w:val="21"/>
                <w:lang w:eastAsia="zh-CN"/>
              </w:rPr>
              <w:t>（</w:t>
            </w:r>
            <w:r>
              <w:rPr>
                <w:rFonts w:hint="eastAsia" w:cstheme="minorEastAsia"/>
                <w:bCs/>
                <w:szCs w:val="21"/>
              </w:rPr>
              <w:t>m</w:t>
            </w:r>
            <w:r>
              <w:rPr>
                <w:rFonts w:hint="eastAsia" w:cstheme="minorEastAsia"/>
                <w:bCs/>
                <w:szCs w:val="21"/>
                <w:lang w:eastAsia="zh-CN"/>
              </w:rPr>
              <w:t>）</w:t>
            </w:r>
            <w:r>
              <w:rPr>
                <w:rFonts w:hint="eastAsia"/>
              </w:rPr>
              <w:t>；</w:t>
            </w:r>
            <w:bookmarkEnd w:id="58"/>
          </w:p>
          <w:p w14:paraId="37A16AFF">
            <w:pPr>
              <w:tabs>
                <w:tab w:val="left" w:pos="0"/>
              </w:tabs>
              <w:ind w:left="630" w:leftChars="300" w:firstLine="0" w:firstLineChars="0"/>
            </w:pPr>
            <m:oMath>
              <m:sSub>
                <m:sSubPr>
                  <m:ctrlPr>
                    <w:rPr>
                      <w:rFonts w:ascii="Cambria Math" w:hAnsi="Cambria Math" w:cs="宋体"/>
                      <w:bCs/>
                      <w:i/>
                      <w:szCs w:val="21"/>
                    </w:rPr>
                  </m:ctrlPr>
                </m:sSubPr>
                <m:e>
                  <m:sSup>
                    <m:sSupPr>
                      <m:ctrlPr>
                        <w:rPr>
                          <w:rFonts w:ascii="Cambria Math" w:hAnsi="Cambria Math" w:cs="宋体"/>
                          <w:bCs/>
                          <w:i/>
                          <w:szCs w:val="21"/>
                        </w:rPr>
                      </m:ctrlPr>
                    </m:sSupPr>
                    <m:e>
                      <m:r>
                        <m:rPr/>
                        <w:rPr>
                          <w:rFonts w:ascii="Cambria Math" w:hAnsi="Cambria Math" w:cs="宋体"/>
                          <w:szCs w:val="21"/>
                        </w:rPr>
                        <m:t>γ</m:t>
                      </m:r>
                      <m:ctrlPr>
                        <w:rPr>
                          <w:rFonts w:ascii="Cambria Math" w:hAnsi="Cambria Math" w:cs="宋体"/>
                          <w:bCs/>
                          <w:i/>
                          <w:szCs w:val="21"/>
                        </w:rPr>
                      </m:ctrlPr>
                    </m:e>
                    <m:sup>
                      <m:r>
                        <m:rPr/>
                        <w:rPr>
                          <w:rFonts w:ascii="Cambria Math" w:hAnsi="Cambria Math" w:cs="宋体"/>
                          <w:szCs w:val="21"/>
                        </w:rPr>
                        <m:t>'</m:t>
                      </m:r>
                      <m:ctrlPr>
                        <w:rPr>
                          <w:rFonts w:ascii="Cambria Math" w:hAnsi="Cambria Math" w:cs="宋体"/>
                          <w:bCs/>
                          <w:i/>
                          <w:szCs w:val="21"/>
                        </w:rPr>
                      </m:ctrlPr>
                    </m:sup>
                  </m:sSup>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oMath>
            <w:r>
              <w:rPr>
                <w:rFonts w:hint="eastAsia" w:cstheme="minorEastAsia"/>
                <w:bCs/>
                <w:szCs w:val="21"/>
              </w:rPr>
              <w:t>——</w:t>
            </w:r>
            <w:r>
              <w:rPr>
                <w:rFonts w:hint="eastAsia"/>
              </w:rPr>
              <w:t>地下水位以下回填土的有效重度</w:t>
            </w:r>
            <w:r>
              <w:rPr>
                <w:rFonts w:hint="eastAsia"/>
                <w:lang w:eastAsia="zh-CN"/>
              </w:rPr>
              <w:t>（</w:t>
            </w:r>
            <w:r>
              <w:rPr>
                <w:rFonts w:hint="eastAsia"/>
              </w:rPr>
              <w:t>kN/m</w:t>
            </w:r>
            <w:r>
              <w:rPr>
                <w:rFonts w:hint="eastAsia"/>
                <w:vertAlign w:val="superscript"/>
              </w:rPr>
              <w:t>3</w:t>
            </w:r>
            <w:r>
              <w:rPr>
                <w:rFonts w:hint="eastAsia"/>
                <w:lang w:eastAsia="zh-CN"/>
              </w:rPr>
              <w:t>）</w:t>
            </w:r>
            <w:r>
              <w:rPr>
                <w:rFonts w:hint="eastAsia"/>
              </w:rPr>
              <w:t>，可按10kN/m</w:t>
            </w:r>
            <w:r>
              <w:rPr>
                <w:vertAlign w:val="superscript"/>
              </w:rPr>
              <w:t>3</w:t>
            </w:r>
            <w:r>
              <w:rPr>
                <w:rFonts w:hint="eastAsia"/>
              </w:rPr>
              <w:t>采用。</w:t>
            </w:r>
          </w:p>
          <w:p w14:paraId="7D66A261">
            <w:pPr>
              <w:tabs>
                <w:tab w:val="left" w:pos="0"/>
              </w:tabs>
              <w:ind w:firstLine="0" w:firstLineChars="0"/>
              <w:rPr>
                <w:rFonts w:cstheme="minorEastAsia"/>
                <w:bCs/>
                <w:szCs w:val="21"/>
              </w:rPr>
            </w:pPr>
            <w:r>
              <w:rPr>
                <w:rFonts w:hint="eastAsia" w:cstheme="minorEastAsia"/>
                <w:bCs/>
                <w:szCs w:val="21"/>
              </w:rPr>
              <w:t>4.2.5</w:t>
            </w:r>
            <w:r>
              <w:rPr>
                <w:rFonts w:hint="eastAsia" w:cstheme="minorEastAsia"/>
                <w:bCs/>
                <w:szCs w:val="21"/>
                <w:lang w:val="en-US" w:eastAsia="zh-CN"/>
              </w:rPr>
              <w:t xml:space="preserve"> </w:t>
            </w:r>
            <w:r>
              <w:rPr>
                <w:rFonts w:hint="eastAsia" w:cstheme="minorEastAsia"/>
                <w:bCs/>
                <w:szCs w:val="21"/>
              </w:rPr>
              <w:t>作用在沉井构筑物侧壁上的主动土压力标准值，可按公式4.2.4-1或4.2.4-2计算，此时应取</w:t>
            </w:r>
            <m:oMath>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m:t>
                  </m:r>
                  <m:ctrlPr>
                    <w:rPr>
                      <w:rFonts w:ascii="Cambria Math" w:hAnsi="Cambria Math" w:cs="宋体"/>
                      <w:bCs/>
                      <w:i/>
                      <w:szCs w:val="21"/>
                    </w:rPr>
                  </m:ctrlPr>
                </m:sub>
              </m:sSub>
            </m:oMath>
            <w:r>
              <w:rPr>
                <w:rFonts w:hint="eastAsia" w:cstheme="minorEastAsia"/>
                <w:bCs/>
                <w:szCs w:val="21"/>
              </w:rPr>
              <w:t>=</w:t>
            </w:r>
            <m:oMath>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so</m:t>
                  </m:r>
                  <m:ctrlPr>
                    <w:rPr>
                      <w:rFonts w:ascii="Cambria Math" w:hAnsi="Cambria Math" w:cs="宋体"/>
                      <w:bCs/>
                      <w:i/>
                      <w:szCs w:val="21"/>
                    </w:rPr>
                  </m:ctrlPr>
                </m:sub>
              </m:sSub>
              <m:r>
                <m:rPr/>
                <w:rPr>
                  <w:rFonts w:ascii="Cambria Math" w:hAnsi="Cambria Math" w:cs="宋体"/>
                  <w:szCs w:val="21"/>
                </w:rPr>
                <m:t>o</m:t>
              </m:r>
            </m:oMath>
            <w:r>
              <w:rPr>
                <w:rFonts w:hint="eastAsia" w:cstheme="minorEastAsia"/>
                <w:bCs/>
                <w:szCs w:val="21"/>
              </w:rPr>
              <w:t>。位于多层土层中的侧壁上的主动土压力标准值，可按下式计算：</w:t>
            </w:r>
          </w:p>
          <w:p w14:paraId="65706C5B">
            <w:pPr>
              <w:tabs>
                <w:tab w:val="left" w:pos="0"/>
              </w:tabs>
              <w:ind w:firstLine="0" w:firstLineChars="0"/>
              <w:jc w:val="center"/>
              <w:rPr>
                <w:rFonts w:cstheme="minorEastAsia"/>
                <w:bCs/>
                <w:szCs w:val="21"/>
              </w:rPr>
            </w:pPr>
            <m:oMathPara>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pn,k</m:t>
                    </m:r>
                    <m:ctrlPr>
                      <w:rPr>
                        <w:rFonts w:ascii="Cambria Math" w:hAnsi="Cambria Math" w:eastAsia="Cambria Math" w:cs="Cambria Math"/>
                        <w:i/>
                        <w:szCs w:val="21"/>
                      </w:rPr>
                    </m:ctrlPr>
                  </m:sub>
                </m:sSub>
                <m:r>
                  <m:rPr>
                    <m:sty m:val="p"/>
                  </m:rPr>
                  <w:rPr>
                    <w:rFonts w:ascii="Cambria Math" w:hAnsi="Cambria Math" w:eastAsia="Cambria Math" w:cs="Cambria Math"/>
                    <w:szCs w:val="21"/>
                  </w:rPr>
                  <m:t>=</m:t>
                </m:r>
                <m:sSub>
                  <m:sSubPr>
                    <m:ctrlPr>
                      <w:rPr>
                        <w:rFonts w:ascii="Cambria Math" w:hAnsi="Cambria Math" w:cs="宋体"/>
                        <w:bCs/>
                        <w:i/>
                        <w:szCs w:val="21"/>
                      </w:rPr>
                    </m:ctrlPr>
                  </m:sSubPr>
                  <m:e>
                    <m:r>
                      <m:rPr/>
                      <w:rPr>
                        <w:rFonts w:ascii="Cambria Math" w:hAnsi="Cambria Math" w:cs="宋体"/>
                        <w:szCs w:val="21"/>
                      </w:rPr>
                      <m:t>K</m:t>
                    </m:r>
                    <m:ctrlPr>
                      <w:rPr>
                        <w:rFonts w:ascii="Cambria Math" w:hAnsi="Cambria Math" w:cs="宋体"/>
                        <w:bCs/>
                        <w:i/>
                        <w:szCs w:val="21"/>
                      </w:rPr>
                    </m:ctrlPr>
                  </m:e>
                  <m:sub>
                    <m:r>
                      <m:rPr/>
                      <w:rPr>
                        <w:rFonts w:hint="eastAsia" w:ascii="Cambria Math" w:hAnsi="Cambria Math" w:cs="宋体"/>
                        <w:szCs w:val="21"/>
                      </w:rPr>
                      <m:t>a</m:t>
                    </m:r>
                    <m:r>
                      <m:rPr/>
                      <w:rPr>
                        <w:rFonts w:ascii="Cambria Math" w:hAnsi="Cambria Math" w:cs="宋体"/>
                        <w:szCs w:val="21"/>
                      </w:rPr>
                      <m:t>n</m:t>
                    </m:r>
                    <m:ctrlPr>
                      <w:rPr>
                        <w:rFonts w:ascii="Cambria Math" w:hAnsi="Cambria Math" w:cs="宋体"/>
                        <w:bCs/>
                        <w:i/>
                        <w:szCs w:val="21"/>
                      </w:rPr>
                    </m:ctrlPr>
                  </m:sub>
                </m:sSub>
                <m:d>
                  <m:dPr>
                    <m:begChr m:val="["/>
                    <m:endChr m:val="]"/>
                    <m:ctrlPr>
                      <w:rPr>
                        <w:rFonts w:ascii="Cambria Math" w:hAnsi="Cambria Math" w:cs="宋体"/>
                        <w:bCs/>
                        <w:i/>
                        <w:szCs w:val="21"/>
                      </w:rPr>
                    </m:ctrlPr>
                  </m:dPr>
                  <m:e>
                    <m:sSub>
                      <m:sSubPr>
                        <m:ctrlPr>
                          <w:rPr>
                            <w:rFonts w:ascii="Cambria Math" w:hAnsi="Cambria Math" w:cs="宋体"/>
                            <w:bCs/>
                            <w:i/>
                            <w:szCs w:val="21"/>
                          </w:rPr>
                        </m:ctrlPr>
                      </m:sSubPr>
                      <m:e>
                        <m:nary>
                          <m:naryPr>
                            <m:chr m:val="∑"/>
                            <m:limLoc m:val="undOvr"/>
                            <m:ctrlPr>
                              <w:rPr>
                                <w:rFonts w:ascii="Cambria Math" w:hAnsi="Cambria Math" w:cs="宋体"/>
                                <w:i/>
                                <w:szCs w:val="21"/>
                              </w:rPr>
                            </m:ctrlPr>
                          </m:naryPr>
                          <m:sub>
                            <m:r>
                              <m:rPr/>
                              <w:rPr>
                                <w:rFonts w:ascii="Cambria Math" w:hAnsi="Cambria Math" w:cs="宋体"/>
                                <w:szCs w:val="21"/>
                              </w:rPr>
                              <m:t>1</m:t>
                            </m:r>
                            <m:ctrlPr>
                              <w:rPr>
                                <w:rFonts w:ascii="Cambria Math" w:hAnsi="Cambria Math" w:cs="宋体"/>
                                <w:i/>
                                <w:szCs w:val="21"/>
                              </w:rPr>
                            </m:ctrlPr>
                          </m:sub>
                          <m:sup>
                            <m:r>
                              <m:rPr/>
                              <w:rPr>
                                <w:rFonts w:ascii="Cambria Math" w:hAnsi="Cambria Math" w:cs="宋体"/>
                                <w:szCs w:val="21"/>
                              </w:rPr>
                              <m:t>n−1</m:t>
                            </m:r>
                            <m:ctrlPr>
                              <w:rPr>
                                <w:rFonts w:ascii="Cambria Math" w:hAnsi="Cambria Math" w:cs="宋体"/>
                                <w:i/>
                                <w:szCs w:val="21"/>
                              </w:rPr>
                            </m:ctrlPr>
                          </m:sup>
                          <m:e>
                            <m:sSub>
                              <m:sSubPr>
                                <m:ctrlPr>
                                  <w:rPr>
                                    <w:rFonts w:ascii="Cambria Math" w:hAnsi="Cambria Math" w:cs="宋体"/>
                                    <w:i/>
                                    <w:szCs w:val="21"/>
                                  </w:rPr>
                                </m:ctrlPr>
                              </m:sSubPr>
                              <m:e>
                                <m:r>
                                  <m:rPr/>
                                  <w:rPr>
                                    <w:rFonts w:ascii="Cambria Math" w:hAnsi="Cambria Math" w:cs="宋体"/>
                                    <w:szCs w:val="21"/>
                                  </w:rPr>
                                  <m:t>γ</m:t>
                                </m:r>
                                <m:ctrlPr>
                                  <w:rPr>
                                    <w:rFonts w:ascii="Cambria Math" w:hAnsi="Cambria Math" w:cs="宋体"/>
                                    <w:i/>
                                    <w:szCs w:val="21"/>
                                  </w:rPr>
                                </m:ctrlPr>
                              </m:e>
                              <m:sub>
                                <m:r>
                                  <m:rPr/>
                                  <w:rPr>
                                    <w:rFonts w:ascii="Cambria Math" w:hAnsi="Cambria Math" w:cs="宋体"/>
                                    <w:szCs w:val="21"/>
                                  </w:rPr>
                                  <m:t>soi</m:t>
                                </m:r>
                                <m:ctrlPr>
                                  <w:rPr>
                                    <w:rFonts w:ascii="Cambria Math" w:hAnsi="Cambria Math" w:cs="宋体"/>
                                    <w:i/>
                                    <w:szCs w:val="21"/>
                                  </w:rPr>
                                </m:ctrlPr>
                              </m:sub>
                            </m:sSub>
                            <m:ctrlPr>
                              <w:rPr>
                                <w:rFonts w:ascii="Cambria Math" w:hAnsi="Cambria Math" w:cs="宋体"/>
                                <w:i/>
                                <w:szCs w:val="21"/>
                              </w:rPr>
                            </m:ctrlPr>
                          </m:e>
                        </m:nary>
                        <m:r>
                          <m:rPr/>
                          <w:rPr>
                            <w:rFonts w:ascii="Cambria Math" w:hAnsi="Cambria Math" w:cs="宋体"/>
                            <w:szCs w:val="21"/>
                          </w:rPr>
                          <m:t>h</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r>
                      <m:rPr/>
                      <w:rPr>
                        <w:rFonts w:ascii="Cambria Math" w:hAnsi="Cambria Math" w:cs="宋体"/>
                        <w:szCs w:val="21"/>
                      </w:rPr>
                      <m:t>+</m:t>
                    </m:r>
                    <m:sSub>
                      <m:sSubPr>
                        <m:ctrlPr>
                          <w:rPr>
                            <w:rFonts w:ascii="Cambria Math" w:hAnsi="Cambria Math" w:cs="宋体"/>
                            <w:bCs/>
                            <w:i/>
                            <w:szCs w:val="21"/>
                          </w:rPr>
                        </m:ctrlPr>
                      </m:sSubPr>
                      <m:e>
                        <m:r>
                          <m:rPr/>
                          <w:rPr>
                            <w:rFonts w:ascii="Cambria Math" w:hAnsi="Cambria Math" w:cs="宋体"/>
                            <w:szCs w:val="21"/>
                          </w:rPr>
                          <m:t>γ</m:t>
                        </m:r>
                        <m:ctrlPr>
                          <w:rPr>
                            <w:rFonts w:ascii="Cambria Math" w:hAnsi="Cambria Math" w:cs="宋体"/>
                            <w:bCs/>
                            <w:i/>
                            <w:szCs w:val="21"/>
                          </w:rPr>
                        </m:ctrlPr>
                      </m:e>
                      <m:sub>
                        <m:r>
                          <m:rPr/>
                          <w:rPr>
                            <w:rFonts w:ascii="Cambria Math" w:hAnsi="Cambria Math" w:cs="宋体"/>
                            <w:szCs w:val="21"/>
                          </w:rPr>
                          <m:t>son</m:t>
                        </m:r>
                        <m:ctrlPr>
                          <w:rPr>
                            <w:rFonts w:ascii="Cambria Math" w:hAnsi="Cambria Math" w:cs="宋体"/>
                            <w:bCs/>
                            <w:i/>
                            <w:szCs w:val="21"/>
                          </w:rPr>
                        </m:ctrlPr>
                      </m:sub>
                    </m:sSub>
                    <m:r>
                      <m:rPr/>
                      <w:rPr>
                        <w:rFonts w:hint="eastAsia" w:ascii="Cambria Math" w:hAnsi="Cambria Math" w:cs="宋体"/>
                        <w:szCs w:val="21"/>
                      </w:rPr>
                      <m:t>（</m:t>
                    </m:r>
                    <m:sSub>
                      <m:sSubPr>
                        <m:ctrlPr>
                          <w:rPr>
                            <w:rFonts w:ascii="Cambria Math" w:hAnsi="Cambria Math" w:cs="宋体"/>
                            <w:i/>
                            <w:szCs w:val="21"/>
                          </w:rPr>
                        </m:ctrlPr>
                      </m:sSubPr>
                      <m:e>
                        <m:r>
                          <m:rPr/>
                          <w:rPr>
                            <w:rFonts w:ascii="Cambria Math" w:hAnsi="Cambria Math" w:cs="宋体"/>
                            <w:szCs w:val="21"/>
                          </w:rPr>
                          <m:t>z</m:t>
                        </m:r>
                        <m:ctrlPr>
                          <w:rPr>
                            <w:rFonts w:ascii="Cambria Math" w:hAnsi="Cambria Math" w:cs="宋体"/>
                            <w:i/>
                            <w:szCs w:val="21"/>
                          </w:rPr>
                        </m:ctrlPr>
                      </m:e>
                      <m:sub>
                        <m:r>
                          <m:rPr/>
                          <w:rPr>
                            <w:rFonts w:ascii="Cambria Math" w:hAnsi="Cambria Math" w:cs="宋体"/>
                            <w:szCs w:val="21"/>
                          </w:rPr>
                          <m:t>n</m:t>
                        </m:r>
                        <m:ctrlPr>
                          <w:rPr>
                            <w:rFonts w:ascii="Cambria Math" w:hAnsi="Cambria Math" w:cs="宋体"/>
                            <w:i/>
                            <w:szCs w:val="21"/>
                          </w:rPr>
                        </m:ctrlPr>
                      </m:sub>
                    </m:sSub>
                    <m:r>
                      <m:rPr/>
                      <w:rPr>
                        <w:rFonts w:ascii="Cambria Math" w:hAnsi="Cambria Math" w:cs="宋体"/>
                        <w:szCs w:val="21"/>
                      </w:rPr>
                      <m:t>−</m:t>
                    </m:r>
                    <m:nary>
                      <m:naryPr>
                        <m:chr m:val="∑"/>
                        <m:limLoc m:val="undOvr"/>
                        <m:ctrlPr>
                          <w:rPr>
                            <w:rFonts w:ascii="Cambria Math" w:hAnsi="Cambria Math" w:cs="宋体"/>
                            <w:i/>
                            <w:szCs w:val="21"/>
                          </w:rPr>
                        </m:ctrlPr>
                      </m:naryPr>
                      <m:sub>
                        <m:r>
                          <m:rPr/>
                          <w:rPr>
                            <w:rFonts w:ascii="Cambria Math" w:hAnsi="Cambria Math" w:cs="宋体"/>
                            <w:szCs w:val="21"/>
                          </w:rPr>
                          <m:t>1</m:t>
                        </m:r>
                        <m:ctrlPr>
                          <w:rPr>
                            <w:rFonts w:ascii="Cambria Math" w:hAnsi="Cambria Math" w:cs="宋体"/>
                            <w:i/>
                            <w:szCs w:val="21"/>
                          </w:rPr>
                        </m:ctrlPr>
                      </m:sub>
                      <m:sup>
                        <m:r>
                          <m:rPr/>
                          <w:rPr>
                            <w:rFonts w:ascii="Cambria Math" w:hAnsi="Cambria Math" w:cs="宋体"/>
                            <w:szCs w:val="21"/>
                          </w:rPr>
                          <m:t>n−1</m:t>
                        </m:r>
                        <m:ctrlPr>
                          <w:rPr>
                            <w:rFonts w:ascii="Cambria Math" w:hAnsi="Cambria Math" w:cs="宋体"/>
                            <w:i/>
                            <w:szCs w:val="21"/>
                          </w:rPr>
                        </m:ctrlPr>
                      </m:sup>
                      <m:e>
                        <m:sSub>
                          <m:sSubPr>
                            <m:ctrlPr>
                              <w:rPr>
                                <w:rFonts w:ascii="Cambria Math" w:hAnsi="Cambria Math" w:cs="宋体"/>
                                <w:i/>
                                <w:szCs w:val="21"/>
                              </w:rPr>
                            </m:ctrlPr>
                          </m:sSubPr>
                          <m:e>
                            <m:r>
                              <m:rPr/>
                              <w:rPr>
                                <w:rFonts w:ascii="Cambria Math" w:hAnsi="Cambria Math" w:cs="宋体"/>
                                <w:szCs w:val="21"/>
                              </w:rPr>
                              <m:t>h</m:t>
                            </m:r>
                            <m:ctrlPr>
                              <w:rPr>
                                <w:rFonts w:ascii="Cambria Math" w:hAnsi="Cambria Math" w:cs="宋体"/>
                                <w:i/>
                                <w:szCs w:val="21"/>
                              </w:rPr>
                            </m:ctrlPr>
                          </m:e>
                          <m:sub>
                            <m:r>
                              <m:rPr/>
                              <w:rPr>
                                <w:rFonts w:ascii="Cambria Math" w:hAnsi="Cambria Math" w:cs="宋体"/>
                                <w:szCs w:val="21"/>
                              </w:rPr>
                              <m:t>i</m:t>
                            </m:r>
                            <m:ctrlPr>
                              <w:rPr>
                                <w:rFonts w:ascii="Cambria Math" w:hAnsi="Cambria Math" w:cs="宋体"/>
                                <w:i/>
                                <w:szCs w:val="21"/>
                              </w:rPr>
                            </m:ctrlPr>
                          </m:sub>
                        </m:sSub>
                        <m:ctrlPr>
                          <w:rPr>
                            <w:rFonts w:ascii="Cambria Math" w:hAnsi="Cambria Math" w:cs="宋体"/>
                            <w:i/>
                            <w:szCs w:val="21"/>
                          </w:rPr>
                        </m:ctrlPr>
                      </m:e>
                    </m:nary>
                    <m:r>
                      <m:rPr/>
                      <w:rPr>
                        <w:rFonts w:hint="eastAsia" w:ascii="Cambria Math" w:hAnsi="Cambria Math" w:cs="宋体"/>
                        <w:szCs w:val="21"/>
                      </w:rPr>
                      <m:t>）</m:t>
                    </m:r>
                    <m:ctrlPr>
                      <w:rPr>
                        <w:rFonts w:ascii="Cambria Math" w:hAnsi="Cambria Math" w:cs="宋体"/>
                        <w:bCs/>
                        <w:i/>
                        <w:szCs w:val="21"/>
                      </w:rPr>
                    </m:ctrlPr>
                  </m:e>
                </m:d>
              </m:oMath>
            </m:oMathPara>
          </w:p>
          <w:p w14:paraId="24F9C87C">
            <w:pPr>
              <w:pStyle w:val="35"/>
              <w:tabs>
                <w:tab w:val="left" w:pos="0"/>
              </w:tabs>
              <w:rPr>
                <w:rFonts w:cstheme="minorEastAsia"/>
                <w:bCs/>
                <w:szCs w:val="21"/>
              </w:rPr>
            </w:pPr>
            <w:r>
              <w:rPr>
                <w:rFonts w:hint="eastAsia" w:cstheme="minorEastAsia"/>
                <w:bCs/>
                <w:szCs w:val="21"/>
              </w:rPr>
              <w:t>式中：</w:t>
            </w:r>
            <m:oMath>
              <m:sSub>
                <m:sSubPr>
                  <m:ctrlPr>
                    <w:rPr>
                      <w:rFonts w:ascii="Cambria Math" w:hAnsi="Cambria Math" w:eastAsia="Cambria Math" w:cs="Cambria Math"/>
                      <w:i/>
                      <w:szCs w:val="21"/>
                    </w:rPr>
                  </m:ctrlPr>
                </m:sSubPr>
                <m:e>
                  <m:r>
                    <m:rPr/>
                    <w:rPr>
                      <w:rFonts w:ascii="Cambria Math" w:hAnsi="Cambria Math" w:eastAsia="Cambria Math" w:cs="Cambria Math"/>
                      <w:szCs w:val="21"/>
                    </w:rPr>
                    <m:t>F</m:t>
                  </m:r>
                  <m:ctrlPr>
                    <w:rPr>
                      <w:rFonts w:ascii="Cambria Math" w:hAnsi="Cambria Math" w:eastAsia="Cambria Math" w:cs="Cambria Math"/>
                      <w:i/>
                      <w:szCs w:val="21"/>
                    </w:rPr>
                  </m:ctrlPr>
                </m:e>
                <m:sub>
                  <m:r>
                    <m:rPr/>
                    <w:rPr>
                      <w:rFonts w:hint="eastAsia" w:ascii="Cambria Math" w:hAnsi="Cambria Math" w:cs="Cambria Math" w:eastAsiaTheme="minorEastAsia"/>
                      <w:szCs w:val="21"/>
                    </w:rPr>
                    <m:t>e</m:t>
                  </m:r>
                  <m:r>
                    <m:rPr/>
                    <w:rPr>
                      <w:rFonts w:ascii="Cambria Math" w:hAnsi="Cambria Math" w:cs="Cambria Math" w:eastAsiaTheme="minorEastAsia"/>
                      <w:szCs w:val="21"/>
                    </w:rPr>
                    <m:t>np,k</m:t>
                  </m:r>
                  <m:ctrlPr>
                    <w:rPr>
                      <w:rFonts w:ascii="Cambria Math" w:hAnsi="Cambria Math" w:eastAsia="Cambria Math" w:cs="Cambria Math"/>
                      <w:i/>
                      <w:szCs w:val="21"/>
                    </w:rPr>
                  </m:ctrlPr>
                </m:sub>
              </m:sSub>
            </m:oMath>
            <w:r>
              <w:rPr>
                <w:rFonts w:hint="eastAsia" w:cstheme="minorEastAsia"/>
                <w:bCs/>
                <w:szCs w:val="21"/>
              </w:rPr>
              <w:t>——第n层土层中，距地面</w:t>
            </w:r>
            <m:oMath>
              <m:sSub>
                <m:sSubPr>
                  <m:ctrlPr>
                    <w:rPr>
                      <w:rFonts w:ascii="Cambria Math" w:hAnsi="Cambria Math" w:cs="宋体"/>
                      <w:i/>
                      <w:szCs w:val="21"/>
                    </w:rPr>
                  </m:ctrlPr>
                </m:sSubPr>
                <m:e>
                  <m:r>
                    <m:rPr/>
                    <w:rPr>
                      <w:rFonts w:ascii="Cambria Math" w:hAnsi="Cambria Math" w:cs="宋体"/>
                      <w:szCs w:val="21"/>
                    </w:rPr>
                    <m:t>z</m:t>
                  </m:r>
                  <m:ctrlPr>
                    <w:rPr>
                      <w:rFonts w:ascii="Cambria Math" w:hAnsi="Cambria Math" w:cs="宋体"/>
                      <w:i/>
                      <w:szCs w:val="21"/>
                    </w:rPr>
                  </m:ctrlPr>
                </m:e>
                <m:sub>
                  <m:r>
                    <m:rPr/>
                    <w:rPr>
                      <w:rFonts w:ascii="Cambria Math" w:hAnsi="Cambria Math" w:cs="宋体"/>
                      <w:szCs w:val="21"/>
                    </w:rPr>
                    <m:t>n</m:t>
                  </m:r>
                  <m:ctrlPr>
                    <w:rPr>
                      <w:rFonts w:ascii="Cambria Math" w:hAnsi="Cambria Math" w:cs="宋体"/>
                      <w:i/>
                      <w:szCs w:val="21"/>
                    </w:rPr>
                  </m:ctrlPr>
                </m:sub>
              </m:sSub>
            </m:oMath>
            <w:r>
              <w:rPr>
                <w:rFonts w:hint="eastAsia" w:cstheme="minorEastAsia"/>
                <w:bCs/>
                <w:szCs w:val="21"/>
              </w:rPr>
              <w:t>深度处侧壁上的主动土压力</w:t>
            </w:r>
          </w:p>
          <w:p w14:paraId="1D8D0654">
            <w:pPr>
              <w:pStyle w:val="35"/>
              <w:tabs>
                <w:tab w:val="left" w:pos="0"/>
              </w:tabs>
              <w:ind w:firstLine="630" w:firstLineChars="300"/>
              <w:rPr>
                <w:rFonts w:cstheme="minorEastAsia"/>
                <w:bCs/>
                <w:szCs w:val="21"/>
              </w:rPr>
            </w:pPr>
            <w:r>
              <w:rPr>
                <w:rFonts w:hint="eastAsia" w:cstheme="minorEastAsia"/>
                <w:bCs/>
                <w:szCs w:val="21"/>
              </w:rPr>
              <w:t>（kN/m</w:t>
            </w:r>
            <w:r>
              <w:rPr>
                <w:rFonts w:hint="eastAsia" w:cstheme="minorEastAsia"/>
                <w:bCs/>
                <w:szCs w:val="21"/>
                <w:vertAlign w:val="superscript"/>
              </w:rPr>
              <w:t>2</w:t>
            </w:r>
            <w:r>
              <w:rPr>
                <w:rFonts w:hint="eastAsia" w:cstheme="minorEastAsia"/>
                <w:bCs/>
                <w:szCs w:val="21"/>
              </w:rPr>
              <w:t>）；</w:t>
            </w:r>
          </w:p>
          <w:p w14:paraId="463890B8">
            <w:pPr>
              <w:pStyle w:val="35"/>
              <w:tabs>
                <w:tab w:val="left" w:pos="0"/>
              </w:tabs>
              <w:ind w:left="630" w:leftChars="300"/>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γ</m:t>
                  </m:r>
                  <m:ctrlPr>
                    <w:rPr>
                      <w:rFonts w:ascii="Cambria Math" w:hAnsi="Cambria Math" w:eastAsia="Cambria Math" w:cs="Cambria Math"/>
                      <w:i/>
                      <w:szCs w:val="21"/>
                    </w:rPr>
                  </m:ctrlPr>
                </m:e>
                <m:sub>
                  <m:r>
                    <m:rPr/>
                    <w:rPr>
                      <w:rFonts w:ascii="Cambria Math" w:hAnsi="Cambria Math" w:eastAsia="Cambria Math" w:cs="Cambria Math"/>
                      <w:szCs w:val="21"/>
                    </w:rPr>
                    <m:t>s</m:t>
                  </m:r>
                  <m:r>
                    <m:rPr/>
                    <w:rPr>
                      <w:rFonts w:ascii="Cambria Math" w:hAnsi="Cambria Math" w:cs="Cambria Math" w:eastAsiaTheme="minorEastAsia"/>
                      <w:szCs w:val="21"/>
                    </w:rPr>
                    <m:t>oi</m:t>
                  </m:r>
                  <m:ctrlPr>
                    <w:rPr>
                      <w:rFonts w:ascii="Cambria Math" w:hAnsi="Cambria Math" w:eastAsia="Cambria Math" w:cs="Cambria Math"/>
                      <w:i/>
                      <w:szCs w:val="21"/>
                    </w:rPr>
                  </m:ctrlPr>
                </m:sub>
              </m:sSub>
            </m:oMath>
            <w:r>
              <w:rPr>
                <w:rFonts w:hint="eastAsia" w:cstheme="minorEastAsia"/>
                <w:bCs/>
                <w:szCs w:val="21"/>
              </w:rPr>
              <w:t>——</w:t>
            </w:r>
            <w:r>
              <w:rPr>
                <w:rFonts w:hint="eastAsia"/>
                <w:bCs/>
              </w:rPr>
              <w:t>i</w:t>
            </w:r>
            <w:r>
              <w:rPr>
                <w:rFonts w:hint="eastAsia" w:cstheme="minorEastAsia"/>
                <w:bCs/>
                <w:szCs w:val="21"/>
              </w:rPr>
              <w:t>层土的天然状态重度</w:t>
            </w:r>
            <w:r>
              <w:rPr>
                <w:rFonts w:hint="eastAsia" w:cstheme="minorEastAsia"/>
                <w:bCs/>
                <w:szCs w:val="21"/>
                <w:lang w:eastAsia="zh-CN"/>
              </w:rPr>
              <w:t>（</w:t>
            </w:r>
            <w:r>
              <w:rPr>
                <w:rFonts w:hint="eastAsia" w:cstheme="minorEastAsia"/>
                <w:bCs/>
                <w:szCs w:val="21"/>
              </w:rPr>
              <w:t>kN/m</w:t>
            </w:r>
            <w:r>
              <w:rPr>
                <w:rFonts w:hint="eastAsia" w:cstheme="minorEastAsia"/>
                <w:bCs/>
                <w:szCs w:val="21"/>
                <w:vertAlign w:val="superscript"/>
              </w:rPr>
              <w:t>3</w:t>
            </w:r>
            <w:r>
              <w:rPr>
                <w:rFonts w:hint="eastAsia" w:cstheme="minorEastAsia"/>
                <w:bCs/>
                <w:szCs w:val="21"/>
                <w:lang w:eastAsia="zh-CN"/>
              </w:rPr>
              <w:t>）</w:t>
            </w:r>
            <w:r>
              <w:rPr>
                <w:rFonts w:hint="eastAsia" w:cstheme="minorEastAsia"/>
                <w:bCs/>
                <w:szCs w:val="21"/>
              </w:rPr>
              <w:t>；当位于地下水位以下时应取有效重度；</w:t>
            </w:r>
          </w:p>
          <w:p w14:paraId="0314B246">
            <w:pPr>
              <w:pStyle w:val="35"/>
              <w:tabs>
                <w:tab w:val="left" w:pos="0"/>
              </w:tabs>
              <w:ind w:left="630" w:leftChars="300"/>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γ</m:t>
                  </m:r>
                  <m:ctrlPr>
                    <w:rPr>
                      <w:rFonts w:ascii="Cambria Math" w:hAnsi="Cambria Math" w:eastAsia="Cambria Math" w:cs="Cambria Math"/>
                      <w:i/>
                      <w:szCs w:val="21"/>
                    </w:rPr>
                  </m:ctrlPr>
                </m:e>
                <m:sub>
                  <m:r>
                    <m:rPr/>
                    <w:rPr>
                      <w:rFonts w:ascii="Cambria Math" w:hAnsi="Cambria Math" w:eastAsia="Cambria Math" w:cs="Cambria Math"/>
                      <w:szCs w:val="21"/>
                    </w:rPr>
                    <m:t>s</m:t>
                  </m:r>
                  <m:r>
                    <m:rPr/>
                    <w:rPr>
                      <w:rFonts w:ascii="Cambria Math" w:hAnsi="Cambria Math" w:cs="Cambria Math" w:eastAsiaTheme="minorEastAsia"/>
                      <w:szCs w:val="21"/>
                    </w:rPr>
                    <m:t>o</m:t>
                  </m:r>
                  <m:r>
                    <m:rPr/>
                    <w:rPr>
                      <w:rFonts w:hint="eastAsia" w:ascii="Cambria Math" w:hAnsi="Cambria Math" w:cs="Cambria Math" w:eastAsiaTheme="minorEastAsia"/>
                      <w:szCs w:val="21"/>
                    </w:rPr>
                    <m:t>n</m:t>
                  </m:r>
                  <m:ctrlPr>
                    <w:rPr>
                      <w:rFonts w:ascii="Cambria Math" w:hAnsi="Cambria Math" w:eastAsia="Cambria Math" w:cs="Cambria Math"/>
                      <w:i/>
                      <w:szCs w:val="21"/>
                    </w:rPr>
                  </m:ctrlPr>
                </m:sub>
              </m:sSub>
            </m:oMath>
            <w:r>
              <w:rPr>
                <w:rFonts w:hint="eastAsia" w:cstheme="minorEastAsia"/>
                <w:bCs/>
                <w:szCs w:val="21"/>
              </w:rPr>
              <w:t>——</w:t>
            </w:r>
            <w:r>
              <w:rPr>
                <w:rFonts w:hint="eastAsia"/>
                <w:bCs/>
              </w:rPr>
              <w:t>第n层土的天然状态重度</w:t>
            </w:r>
            <w:r>
              <w:rPr>
                <w:rFonts w:hint="eastAsia"/>
                <w:bCs/>
                <w:lang w:eastAsia="zh-CN"/>
              </w:rPr>
              <w:t>（</w:t>
            </w:r>
            <w:r>
              <w:rPr>
                <w:rFonts w:hint="eastAsia"/>
                <w:bCs/>
              </w:rPr>
              <w:t>kN/</w:t>
            </w:r>
            <w:r>
              <w:rPr>
                <w:rFonts w:hint="eastAsia" w:cstheme="minorEastAsia"/>
                <w:bCs/>
                <w:szCs w:val="21"/>
              </w:rPr>
              <w:t>m</w:t>
            </w:r>
            <w:r>
              <w:rPr>
                <w:rFonts w:hint="eastAsia" w:cstheme="minorEastAsia"/>
                <w:bCs/>
                <w:szCs w:val="21"/>
                <w:vertAlign w:val="superscript"/>
              </w:rPr>
              <w:t>3</w:t>
            </w:r>
            <w:r>
              <w:rPr>
                <w:rFonts w:hint="eastAsia"/>
                <w:bCs/>
                <w:lang w:eastAsia="zh-CN"/>
              </w:rPr>
              <w:t>）</w:t>
            </w:r>
            <w:r>
              <w:rPr>
                <w:rFonts w:hint="eastAsia" w:cstheme="minorEastAsia"/>
                <w:bCs/>
                <w:szCs w:val="21"/>
              </w:rPr>
              <w:t>；当位于地下水位以下时应取有效重度；</w:t>
            </w:r>
          </w:p>
          <w:p w14:paraId="4C07C939">
            <w:pPr>
              <w:pStyle w:val="35"/>
              <w:tabs>
                <w:tab w:val="left" w:pos="0"/>
              </w:tabs>
              <w:ind w:left="630" w:leftChars="300"/>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h</m:t>
                  </m:r>
                  <m:ctrlPr>
                    <w:rPr>
                      <w:rFonts w:ascii="Cambria Math" w:hAnsi="Cambria Math" w:eastAsia="Cambria Math" w:cs="Cambria Math"/>
                      <w:i/>
                      <w:szCs w:val="21"/>
                    </w:rPr>
                  </m:ctrlPr>
                </m:e>
                <m:sub>
                  <m:r>
                    <m:rPr/>
                    <w:rPr>
                      <w:rFonts w:ascii="Cambria Math" w:hAnsi="Cambria Math" w:eastAsia="Cambria Math" w:cs="Cambria Math"/>
                      <w:szCs w:val="21"/>
                    </w:rPr>
                    <m:t>i</m:t>
                  </m:r>
                  <m:ctrlPr>
                    <w:rPr>
                      <w:rFonts w:ascii="Cambria Math" w:hAnsi="Cambria Math" w:eastAsia="Cambria Math" w:cs="Cambria Math"/>
                      <w:i/>
                      <w:szCs w:val="21"/>
                    </w:rPr>
                  </m:ctrlPr>
                </m:sub>
              </m:sSub>
            </m:oMath>
            <w:r>
              <w:rPr>
                <w:rFonts w:hint="eastAsia" w:cstheme="minorEastAsia"/>
                <w:bCs/>
                <w:szCs w:val="21"/>
              </w:rPr>
              <w:t>——</w:t>
            </w:r>
            <w:r>
              <w:rPr>
                <w:rFonts w:hint="eastAsia"/>
                <w:bCs/>
              </w:rPr>
              <w:t>i层土层的厚度</w:t>
            </w:r>
            <w:r>
              <w:rPr>
                <w:rFonts w:hint="eastAsia" w:cstheme="minorEastAsia"/>
                <w:bCs/>
                <w:szCs w:val="21"/>
                <w:lang w:eastAsia="zh-CN"/>
              </w:rPr>
              <w:t>（</w:t>
            </w:r>
            <w:r>
              <w:rPr>
                <w:rFonts w:hint="eastAsia" w:cstheme="minorEastAsia"/>
                <w:bCs/>
                <w:szCs w:val="21"/>
              </w:rPr>
              <w:t>m</w:t>
            </w:r>
            <w:r>
              <w:rPr>
                <w:rFonts w:hint="eastAsia" w:cstheme="minorEastAsia"/>
                <w:bCs/>
                <w:szCs w:val="21"/>
                <w:lang w:eastAsia="zh-CN"/>
              </w:rPr>
              <w:t>）</w:t>
            </w:r>
            <w:r>
              <w:rPr>
                <w:rFonts w:hint="eastAsia" w:cstheme="minorEastAsia"/>
                <w:bCs/>
                <w:szCs w:val="21"/>
              </w:rPr>
              <w:t>；</w:t>
            </w:r>
          </w:p>
          <w:p w14:paraId="61BF6679">
            <w:pPr>
              <w:pStyle w:val="35"/>
              <w:tabs>
                <w:tab w:val="left" w:pos="0"/>
              </w:tabs>
              <w:ind w:left="630" w:leftChars="300"/>
              <w:rPr>
                <w:rFonts w:cstheme="minorEastAsia"/>
                <w:bCs/>
                <w:szCs w:val="21"/>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z</m:t>
                  </m:r>
                  <m:ctrlPr>
                    <w:rPr>
                      <w:rFonts w:ascii="Cambria Math" w:hAnsi="Cambria Math" w:eastAsia="Cambria Math" w:cs="Cambria Math"/>
                      <w:i/>
                      <w:szCs w:val="21"/>
                    </w:rPr>
                  </m:ctrlPr>
                </m:e>
                <m:sub>
                  <m:r>
                    <m:rPr/>
                    <w:rPr>
                      <w:rFonts w:ascii="Cambria Math" w:hAnsi="Cambria Math" w:eastAsia="Cambria Math" w:cs="Cambria Math"/>
                      <w:szCs w:val="21"/>
                    </w:rPr>
                    <m:t>n</m:t>
                  </m:r>
                  <m:ctrlPr>
                    <w:rPr>
                      <w:rFonts w:ascii="Cambria Math" w:hAnsi="Cambria Math" w:eastAsia="Cambria Math" w:cs="Cambria Math"/>
                      <w:i/>
                      <w:szCs w:val="21"/>
                    </w:rPr>
                  </m:ctrlPr>
                </m:sub>
              </m:sSub>
            </m:oMath>
            <w:r>
              <w:rPr>
                <w:rFonts w:hint="eastAsia" w:cstheme="minorEastAsia"/>
                <w:bCs/>
                <w:szCs w:val="21"/>
              </w:rPr>
              <w:t>——</w:t>
            </w:r>
            <w:r>
              <w:rPr>
                <w:rFonts w:hint="eastAsia"/>
                <w:bCs/>
              </w:rPr>
              <w:t>自地面至计算截面处的深度</w:t>
            </w:r>
            <w:r>
              <w:rPr>
                <w:rFonts w:hint="eastAsia" w:cstheme="minorEastAsia"/>
                <w:bCs/>
                <w:szCs w:val="21"/>
                <w:lang w:eastAsia="zh-CN"/>
              </w:rPr>
              <w:t>（</w:t>
            </w:r>
            <w:r>
              <w:rPr>
                <w:rFonts w:hint="eastAsia" w:cstheme="minorEastAsia"/>
                <w:bCs/>
                <w:szCs w:val="21"/>
              </w:rPr>
              <w:t>m</w:t>
            </w:r>
            <w:r>
              <w:rPr>
                <w:rFonts w:hint="eastAsia" w:cstheme="minorEastAsia"/>
                <w:bCs/>
                <w:szCs w:val="21"/>
                <w:lang w:eastAsia="zh-CN"/>
              </w:rPr>
              <w:t>）</w:t>
            </w:r>
            <w:r>
              <w:rPr>
                <w:rFonts w:hint="eastAsia" w:cstheme="minorEastAsia"/>
                <w:bCs/>
                <w:szCs w:val="21"/>
              </w:rPr>
              <w:t>；</w:t>
            </w:r>
          </w:p>
          <w:p w14:paraId="06CB2DD7">
            <w:pPr>
              <w:pStyle w:val="35"/>
              <w:tabs>
                <w:tab w:val="left" w:pos="0"/>
              </w:tabs>
              <w:ind w:left="630" w:leftChars="300"/>
              <w:rPr>
                <w:bCs/>
              </w:rPr>
            </w:pPr>
            <m:oMath>
              <m:sSub>
                <m:sSubPr>
                  <m:ctrlPr>
                    <w:rPr>
                      <w:rFonts w:ascii="Cambria Math" w:hAnsi="Cambria Math" w:eastAsia="Cambria Math" w:cs="Cambria Math"/>
                      <w:i/>
                      <w:szCs w:val="21"/>
                    </w:rPr>
                  </m:ctrlPr>
                </m:sSubPr>
                <m:e>
                  <m:r>
                    <m:rPr/>
                    <w:rPr>
                      <w:rFonts w:ascii="Cambria Math" w:hAnsi="Cambria Math" w:eastAsia="Cambria Math" w:cs="Cambria Math"/>
                      <w:szCs w:val="21"/>
                    </w:rPr>
                    <m:t>K</m:t>
                  </m:r>
                  <m:ctrlPr>
                    <w:rPr>
                      <w:rFonts w:ascii="Cambria Math" w:hAnsi="Cambria Math" w:eastAsia="Cambria Math" w:cs="Cambria Math"/>
                      <w:i/>
                      <w:szCs w:val="21"/>
                    </w:rPr>
                  </m:ctrlPr>
                </m:e>
                <m:sub>
                  <m:r>
                    <m:rPr/>
                    <w:rPr>
                      <w:rFonts w:hint="eastAsia" w:ascii="Cambria Math" w:hAnsi="Cambria Math" w:cs="Cambria Math" w:eastAsiaTheme="minorEastAsia"/>
                      <w:szCs w:val="21"/>
                    </w:rPr>
                    <m:t>a</m:t>
                  </m:r>
                  <m:r>
                    <m:rPr/>
                    <w:rPr>
                      <w:rFonts w:ascii="Cambria Math" w:hAnsi="Cambria Math" w:eastAsia="Cambria Math" w:cs="Cambria Math"/>
                      <w:szCs w:val="21"/>
                    </w:rPr>
                    <m:t>n</m:t>
                  </m:r>
                  <m:ctrlPr>
                    <w:rPr>
                      <w:rFonts w:ascii="Cambria Math" w:hAnsi="Cambria Math" w:eastAsia="Cambria Math" w:cs="Cambria Math"/>
                      <w:i/>
                      <w:szCs w:val="21"/>
                    </w:rPr>
                  </m:ctrlPr>
                </m:sub>
              </m:sSub>
            </m:oMath>
            <w:r>
              <w:rPr>
                <w:rFonts w:hint="eastAsia" w:cstheme="minorEastAsia"/>
                <w:bCs/>
                <w:szCs w:val="21"/>
              </w:rPr>
              <w:t>——</w:t>
            </w:r>
            <w:r>
              <w:rPr>
                <w:rFonts w:hint="eastAsia"/>
                <w:bCs/>
              </w:rPr>
              <w:t>第n层土的主动土压力系数。</w:t>
            </w:r>
          </w:p>
          <w:p w14:paraId="0EFBCF75">
            <w:pPr>
              <w:tabs>
                <w:tab w:val="left" w:pos="0"/>
              </w:tabs>
              <w:ind w:firstLine="0" w:firstLineChars="0"/>
              <w:rPr>
                <w:rFonts w:cstheme="minorEastAsia"/>
                <w:bCs/>
                <w:szCs w:val="21"/>
              </w:rPr>
            </w:pPr>
            <w:r>
              <w:rPr>
                <w:rFonts w:hint="eastAsia" w:cstheme="minorEastAsia"/>
                <w:bCs/>
                <w:szCs w:val="21"/>
              </w:rPr>
              <w:t>4.2.6 构筑物内的水压力应按设计水位的静水压力计算，对给水处理构筑物，水的重度标准值，可取10kN/m</w:t>
            </w:r>
            <w:r>
              <w:rPr>
                <w:rFonts w:hint="eastAsia" w:cstheme="minorEastAsia"/>
                <w:bCs/>
                <w:szCs w:val="21"/>
                <w:vertAlign w:val="superscript"/>
              </w:rPr>
              <w:t>3</w:t>
            </w:r>
            <w:r>
              <w:rPr>
                <w:rFonts w:hint="eastAsia" w:cstheme="minorEastAsia"/>
                <w:bCs/>
                <w:szCs w:val="21"/>
              </w:rPr>
              <w:t>采用；对污水处理构筑物，水的重度标准值，可取10~10.8kN/m</w:t>
            </w:r>
            <w:r>
              <w:rPr>
                <w:rFonts w:hint="eastAsia" w:cstheme="minorEastAsia"/>
                <w:bCs/>
                <w:szCs w:val="21"/>
                <w:vertAlign w:val="superscript"/>
              </w:rPr>
              <w:t>2</w:t>
            </w:r>
            <w:r>
              <w:rPr>
                <w:rFonts w:hint="eastAsia" w:cstheme="minorEastAsia"/>
                <w:bCs/>
                <w:szCs w:val="21"/>
              </w:rPr>
              <w:t>采用。</w:t>
            </w:r>
          </w:p>
          <w:p w14:paraId="6D527E1D">
            <w:pPr>
              <w:pStyle w:val="35"/>
              <w:ind w:firstLine="420" w:firstLineChars="200"/>
              <w:rPr>
                <w:rFonts w:hint="eastAsia" w:ascii="Times New Roman" w:hAnsi="Times New Roman" w:eastAsia="宋体" w:cs="Times New Roman"/>
                <w:bCs w:val="0"/>
                <w:color w:val="000000"/>
                <w:sz w:val="21"/>
                <w:szCs w:val="21"/>
              </w:rPr>
            </w:pPr>
            <w:r>
              <w:rPr>
                <w:rFonts w:hint="eastAsia" w:ascii="Times New Roman" w:hAnsi="Times New Roman" w:eastAsia="宋体" w:cs="Times New Roman"/>
                <w:bCs w:val="0"/>
                <w:color w:val="000000"/>
                <w:sz w:val="21"/>
                <w:szCs w:val="21"/>
              </w:rPr>
              <w:t>注</w:t>
            </w:r>
            <w:r>
              <w:rPr>
                <w:rFonts w:hint="eastAsia" w:ascii="Times New Roman" w:hAnsi="Times New Roman" w:eastAsia="宋体" w:cs="Times New Roman"/>
                <w:bCs w:val="0"/>
                <w:color w:val="000000"/>
                <w:sz w:val="21"/>
                <w:szCs w:val="21"/>
                <w:lang w:eastAsia="zh-CN"/>
              </w:rPr>
              <w:t>：</w:t>
            </w:r>
            <w:r>
              <w:rPr>
                <w:rFonts w:hint="eastAsia" w:ascii="Times New Roman" w:hAnsi="Times New Roman" w:eastAsia="宋体" w:cs="Times New Roman"/>
                <w:bCs w:val="0"/>
                <w:color w:val="000000"/>
                <w:sz w:val="21"/>
                <w:szCs w:val="21"/>
              </w:rPr>
              <w:t>机械表面曝气池内的设计水位，应计入水面波动的影响。</w:t>
            </w:r>
          </w:p>
          <w:p w14:paraId="3F518CDD">
            <w:pPr>
              <w:tabs>
                <w:tab w:val="left" w:pos="0"/>
              </w:tabs>
              <w:ind w:firstLine="0" w:firstLineChars="0"/>
              <w:rPr>
                <w:rFonts w:cstheme="minorEastAsia"/>
                <w:bCs/>
                <w:szCs w:val="21"/>
              </w:rPr>
            </w:pPr>
            <w:r>
              <w:rPr>
                <w:rFonts w:hint="eastAsia" w:cstheme="minorEastAsia"/>
                <w:bCs/>
                <w:szCs w:val="21"/>
              </w:rPr>
              <w:t>4.3.1 构筑物楼面和屋面的活荷载及其准永久值系数，应按表4.3.1采用。</w:t>
            </w:r>
          </w:p>
          <w:p w14:paraId="3695C776">
            <w:pPr>
              <w:tabs>
                <w:tab w:val="left" w:pos="0"/>
              </w:tabs>
              <w:ind w:left="630" w:leftChars="300" w:firstLine="0" w:firstLineChars="0"/>
              <w:rPr>
                <w:rFonts w:cstheme="minorEastAsia"/>
                <w:bCs/>
                <w:szCs w:val="21"/>
              </w:rPr>
            </w:pPr>
            <w:r>
              <w:rPr>
                <w:rFonts w:hint="eastAsia" w:cstheme="minorEastAsia"/>
                <w:bCs/>
                <w:szCs w:val="21"/>
              </w:rPr>
              <w:t>表4.3.1 构筑物楼面和屋面的活荷载及其准永久值系数</w:t>
            </w:r>
            <w:bookmarkStart w:id="59" w:name="OLE_LINK17"/>
            <m:oMath>
              <m:sSub>
                <m:sSubPr>
                  <m:ctrlPr>
                    <w:rPr>
                      <w:rFonts w:ascii="Cambria Math" w:hAnsi="Cambria Math" w:cstheme="minorEastAsia"/>
                      <w:bCs/>
                      <w:i/>
                      <w:szCs w:val="21"/>
                    </w:rPr>
                  </m:ctrlPr>
                </m:sSubPr>
                <m:e>
                  <m:r>
                    <m:rPr/>
                    <w:rPr>
                      <w:rFonts w:ascii="Cambria Math" w:hAnsi="Cambria Math" w:cstheme="minorEastAsia"/>
                      <w:szCs w:val="21"/>
                    </w:rPr>
                    <m:t>ψ</m:t>
                  </m:r>
                  <m:ctrlPr>
                    <w:rPr>
                      <w:rFonts w:ascii="Cambria Math" w:hAnsi="Cambria Math" w:cstheme="minorEastAsia"/>
                      <w:bCs/>
                      <w:i/>
                      <w:szCs w:val="21"/>
                    </w:rPr>
                  </m:ctrlPr>
                </m:e>
                <m:sub>
                  <m:r>
                    <m:rPr/>
                    <w:rPr>
                      <w:rFonts w:ascii="Cambria Math" w:hAnsi="Cambria Math" w:cstheme="minorEastAsia"/>
                      <w:szCs w:val="21"/>
                    </w:rPr>
                    <m:t>q</m:t>
                  </m:r>
                  <w:bookmarkEnd w:id="59"/>
                  <m:ctrlPr>
                    <w:rPr>
                      <w:rFonts w:ascii="Cambria Math" w:hAnsi="Cambria Math" w:cstheme="minorEastAsia"/>
                      <w:bCs/>
                      <w:i/>
                      <w:szCs w:val="21"/>
                    </w:rPr>
                  </m:ctrlPr>
                </m:sub>
              </m:sSub>
            </m:oMath>
          </w:p>
          <w:tbl>
            <w:tblPr>
              <w:tblStyle w:val="24"/>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502"/>
              <w:gridCol w:w="2009"/>
              <w:gridCol w:w="1261"/>
            </w:tblGrid>
            <w:tr w14:paraId="7016AB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2B11D728">
                  <w:pPr>
                    <w:tabs>
                      <w:tab w:val="left" w:pos="0"/>
                    </w:tabs>
                    <w:spacing w:line="240" w:lineRule="auto"/>
                    <w:ind w:firstLine="0" w:firstLineChars="0"/>
                    <w:jc w:val="center"/>
                    <w:rPr>
                      <w:rFonts w:cstheme="minorEastAsia"/>
                      <w:bCs/>
                      <w:szCs w:val="21"/>
                    </w:rPr>
                  </w:pPr>
                  <w:r>
                    <w:rPr>
                      <w:rFonts w:hint="eastAsia" w:cstheme="minorEastAsia"/>
                      <w:bCs/>
                      <w:szCs w:val="21"/>
                    </w:rPr>
                    <w:t>项序</w:t>
                  </w:r>
                </w:p>
              </w:tc>
              <w:tc>
                <w:tcPr>
                  <w:tcW w:w="1870" w:type="pct"/>
                  <w:vAlign w:val="center"/>
                </w:tcPr>
                <w:p w14:paraId="6677D27A">
                  <w:pPr>
                    <w:tabs>
                      <w:tab w:val="left" w:pos="0"/>
                    </w:tabs>
                    <w:spacing w:line="240" w:lineRule="auto"/>
                    <w:ind w:firstLine="0" w:firstLineChars="0"/>
                    <w:jc w:val="center"/>
                    <w:rPr>
                      <w:rFonts w:cstheme="minorEastAsia"/>
                      <w:bCs/>
                      <w:szCs w:val="21"/>
                    </w:rPr>
                  </w:pPr>
                  <w:r>
                    <w:rPr>
                      <w:rFonts w:hint="eastAsia" w:cstheme="minorEastAsia"/>
                      <w:bCs/>
                      <w:szCs w:val="21"/>
                    </w:rPr>
                    <w:t>构筑物部位</w:t>
                  </w:r>
                </w:p>
              </w:tc>
              <w:tc>
                <w:tcPr>
                  <w:tcW w:w="1501" w:type="pct"/>
                  <w:vAlign w:val="center"/>
                </w:tcPr>
                <w:p w14:paraId="1DD26DF6">
                  <w:pPr>
                    <w:tabs>
                      <w:tab w:val="left" w:pos="0"/>
                    </w:tabs>
                    <w:spacing w:line="240" w:lineRule="auto"/>
                    <w:ind w:firstLine="0" w:firstLineChars="0"/>
                    <w:jc w:val="center"/>
                    <w:rPr>
                      <w:rFonts w:cstheme="minorEastAsia"/>
                      <w:bCs/>
                      <w:szCs w:val="21"/>
                    </w:rPr>
                  </w:pPr>
                  <w:r>
                    <w:rPr>
                      <w:rFonts w:hint="eastAsia" w:cstheme="minorEastAsia"/>
                      <w:bCs/>
                      <w:szCs w:val="21"/>
                    </w:rPr>
                    <w:t>活荷载标准值（kN/m</w:t>
                  </w:r>
                  <w:r>
                    <w:rPr>
                      <w:rFonts w:hint="eastAsia" w:cstheme="minorEastAsia"/>
                      <w:bCs/>
                      <w:szCs w:val="21"/>
                      <w:vertAlign w:val="superscript"/>
                    </w:rPr>
                    <w:t>2</w:t>
                  </w:r>
                  <w:r>
                    <w:rPr>
                      <w:rFonts w:hint="eastAsia" w:cstheme="minorEastAsia"/>
                      <w:bCs/>
                      <w:szCs w:val="21"/>
                    </w:rPr>
                    <w:t>）</w:t>
                  </w:r>
                </w:p>
              </w:tc>
              <w:tc>
                <w:tcPr>
                  <w:tcW w:w="941" w:type="pct"/>
                  <w:vAlign w:val="center"/>
                </w:tcPr>
                <w:p w14:paraId="2CD12F77">
                  <w:pPr>
                    <w:tabs>
                      <w:tab w:val="left" w:pos="0"/>
                    </w:tabs>
                    <w:spacing w:line="240" w:lineRule="auto"/>
                    <w:ind w:firstLine="0" w:firstLineChars="0"/>
                    <w:jc w:val="center"/>
                    <w:rPr>
                      <w:rFonts w:cstheme="minorEastAsia"/>
                      <w:bCs/>
                      <w:szCs w:val="21"/>
                    </w:rPr>
                  </w:pPr>
                  <w:r>
                    <w:rPr>
                      <w:rFonts w:hint="eastAsia" w:cstheme="minorEastAsia"/>
                      <w:bCs/>
                      <w:szCs w:val="21"/>
                    </w:rPr>
                    <w:t>准永久值系数</w:t>
                  </w:r>
                  <m:oMath>
                    <m:sSub>
                      <m:sSubPr>
                        <m:ctrlPr>
                          <w:rPr>
                            <w:rFonts w:ascii="Cambria Math" w:hAnsi="Cambria Math" w:cstheme="minorEastAsia"/>
                            <w:bCs/>
                            <w:i/>
                            <w:szCs w:val="21"/>
                          </w:rPr>
                        </m:ctrlPr>
                      </m:sSubPr>
                      <m:e>
                        <m:r>
                          <m:rPr/>
                          <w:rPr>
                            <w:rFonts w:ascii="Cambria Math" w:hAnsi="Cambria Math" w:cstheme="minorEastAsia"/>
                            <w:szCs w:val="21"/>
                          </w:rPr>
                          <m:t>ψ</m:t>
                        </m:r>
                        <m:ctrlPr>
                          <w:rPr>
                            <w:rFonts w:ascii="Cambria Math" w:hAnsi="Cambria Math" w:cstheme="minorEastAsia"/>
                            <w:bCs/>
                            <w:i/>
                            <w:szCs w:val="21"/>
                          </w:rPr>
                        </m:ctrlPr>
                      </m:e>
                      <m:sub>
                        <m:r>
                          <m:rPr/>
                          <w:rPr>
                            <w:rFonts w:ascii="Cambria Math" w:hAnsi="Cambria Math" w:cstheme="minorEastAsia"/>
                            <w:szCs w:val="21"/>
                          </w:rPr>
                          <m:t>q</m:t>
                        </m:r>
                        <m:ctrlPr>
                          <w:rPr>
                            <w:rFonts w:ascii="Cambria Math" w:hAnsi="Cambria Math" w:cstheme="minorEastAsia"/>
                            <w:bCs/>
                            <w:i/>
                            <w:szCs w:val="21"/>
                          </w:rPr>
                        </m:ctrlPr>
                      </m:sub>
                    </m:sSub>
                  </m:oMath>
                </w:p>
              </w:tc>
            </w:tr>
            <w:tr w14:paraId="6A8BE9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30BBE545">
                  <w:pPr>
                    <w:tabs>
                      <w:tab w:val="left" w:pos="0"/>
                    </w:tabs>
                    <w:spacing w:line="240" w:lineRule="auto"/>
                    <w:ind w:firstLine="0" w:firstLineChars="0"/>
                    <w:jc w:val="center"/>
                    <w:rPr>
                      <w:rFonts w:cstheme="minorEastAsia"/>
                      <w:bCs/>
                      <w:szCs w:val="21"/>
                    </w:rPr>
                  </w:pPr>
                  <w:r>
                    <w:rPr>
                      <w:rFonts w:hint="eastAsia" w:cstheme="minorEastAsia"/>
                      <w:bCs/>
                      <w:szCs w:val="21"/>
                    </w:rPr>
                    <w:t>1</w:t>
                  </w:r>
                </w:p>
              </w:tc>
              <w:tc>
                <w:tcPr>
                  <w:tcW w:w="1870" w:type="pct"/>
                </w:tcPr>
                <w:p w14:paraId="33574C07">
                  <w:pPr>
                    <w:tabs>
                      <w:tab w:val="left" w:pos="0"/>
                    </w:tabs>
                    <w:spacing w:line="240" w:lineRule="auto"/>
                    <w:ind w:firstLine="0" w:firstLineChars="0"/>
                    <w:rPr>
                      <w:rFonts w:cstheme="minorEastAsia"/>
                      <w:bCs/>
                      <w:szCs w:val="21"/>
                    </w:rPr>
                  </w:pPr>
                  <w:r>
                    <w:rPr>
                      <w:rFonts w:hint="eastAsia" w:cstheme="minorEastAsia"/>
                      <w:bCs/>
                      <w:szCs w:val="21"/>
                    </w:rPr>
                    <w:t>不上人的屋面、贮水或水处理构筑物的顶盖</w:t>
                  </w:r>
                </w:p>
              </w:tc>
              <w:tc>
                <w:tcPr>
                  <w:tcW w:w="1501" w:type="pct"/>
                  <w:vAlign w:val="center"/>
                </w:tcPr>
                <w:p w14:paraId="370C78B8">
                  <w:pPr>
                    <w:tabs>
                      <w:tab w:val="left" w:pos="0"/>
                    </w:tabs>
                    <w:spacing w:line="240" w:lineRule="auto"/>
                    <w:ind w:firstLine="0" w:firstLineChars="0"/>
                    <w:jc w:val="center"/>
                    <w:rPr>
                      <w:rFonts w:cstheme="minorEastAsia"/>
                      <w:bCs/>
                      <w:szCs w:val="21"/>
                    </w:rPr>
                  </w:pPr>
                  <w:r>
                    <w:rPr>
                      <w:rFonts w:hint="eastAsia" w:cstheme="minorEastAsia"/>
                      <w:bCs/>
                      <w:szCs w:val="21"/>
                    </w:rPr>
                    <w:t>0.7</w:t>
                  </w:r>
                </w:p>
              </w:tc>
              <w:tc>
                <w:tcPr>
                  <w:tcW w:w="941" w:type="pct"/>
                  <w:vAlign w:val="center"/>
                </w:tcPr>
                <w:p w14:paraId="747FEBF4">
                  <w:pPr>
                    <w:tabs>
                      <w:tab w:val="left" w:pos="0"/>
                    </w:tabs>
                    <w:spacing w:line="240" w:lineRule="auto"/>
                    <w:ind w:firstLine="0" w:firstLineChars="0"/>
                    <w:jc w:val="center"/>
                    <w:rPr>
                      <w:rFonts w:cstheme="minorEastAsia"/>
                      <w:bCs/>
                      <w:szCs w:val="21"/>
                    </w:rPr>
                  </w:pPr>
                  <w:r>
                    <w:rPr>
                      <w:rFonts w:hint="eastAsia" w:cstheme="minorEastAsia"/>
                      <w:bCs/>
                      <w:szCs w:val="21"/>
                    </w:rPr>
                    <w:t>0.0</w:t>
                  </w:r>
                </w:p>
              </w:tc>
            </w:tr>
            <w:tr w14:paraId="4A4FDA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1499ED5C">
                  <w:pPr>
                    <w:tabs>
                      <w:tab w:val="left" w:pos="0"/>
                    </w:tabs>
                    <w:spacing w:line="240" w:lineRule="auto"/>
                    <w:ind w:firstLine="0" w:firstLineChars="0"/>
                    <w:jc w:val="center"/>
                    <w:rPr>
                      <w:rFonts w:cstheme="minorEastAsia"/>
                      <w:bCs/>
                      <w:szCs w:val="21"/>
                    </w:rPr>
                  </w:pPr>
                  <w:r>
                    <w:rPr>
                      <w:rFonts w:hint="eastAsia" w:cstheme="minorEastAsia"/>
                      <w:bCs/>
                      <w:szCs w:val="21"/>
                    </w:rPr>
                    <w:t>2</w:t>
                  </w:r>
                </w:p>
              </w:tc>
              <w:tc>
                <w:tcPr>
                  <w:tcW w:w="1870" w:type="pct"/>
                </w:tcPr>
                <w:p w14:paraId="7033A81A">
                  <w:pPr>
                    <w:tabs>
                      <w:tab w:val="left" w:pos="0"/>
                    </w:tabs>
                    <w:spacing w:line="240" w:lineRule="auto"/>
                    <w:ind w:firstLine="0" w:firstLineChars="0"/>
                    <w:rPr>
                      <w:rFonts w:cstheme="minorEastAsia"/>
                      <w:bCs/>
                      <w:szCs w:val="21"/>
                    </w:rPr>
                  </w:pPr>
                  <w:r>
                    <w:rPr>
                      <w:rFonts w:hint="eastAsia" w:cstheme="minorEastAsia"/>
                      <w:bCs/>
                      <w:szCs w:val="21"/>
                    </w:rPr>
                    <w:t>上人屋面或顶盖</w:t>
                  </w:r>
                </w:p>
              </w:tc>
              <w:tc>
                <w:tcPr>
                  <w:tcW w:w="1501" w:type="pct"/>
                  <w:vAlign w:val="center"/>
                </w:tcPr>
                <w:p w14:paraId="08C4EACE">
                  <w:pPr>
                    <w:tabs>
                      <w:tab w:val="left" w:pos="0"/>
                    </w:tabs>
                    <w:spacing w:line="240" w:lineRule="auto"/>
                    <w:ind w:firstLine="0" w:firstLineChars="0"/>
                    <w:jc w:val="center"/>
                    <w:rPr>
                      <w:rFonts w:cstheme="minorEastAsia"/>
                      <w:bCs/>
                      <w:szCs w:val="21"/>
                    </w:rPr>
                  </w:pPr>
                  <w:r>
                    <w:rPr>
                      <w:rFonts w:hint="eastAsia" w:cstheme="minorEastAsia"/>
                      <w:bCs/>
                      <w:szCs w:val="21"/>
                    </w:rPr>
                    <w:t>2.0</w:t>
                  </w:r>
                </w:p>
              </w:tc>
              <w:tc>
                <w:tcPr>
                  <w:tcW w:w="941" w:type="pct"/>
                  <w:vAlign w:val="center"/>
                </w:tcPr>
                <w:p w14:paraId="05708FF8">
                  <w:pPr>
                    <w:tabs>
                      <w:tab w:val="left" w:pos="0"/>
                    </w:tabs>
                    <w:spacing w:line="240" w:lineRule="auto"/>
                    <w:ind w:firstLine="0" w:firstLineChars="0"/>
                    <w:jc w:val="center"/>
                    <w:rPr>
                      <w:rFonts w:cstheme="minorEastAsia"/>
                      <w:bCs/>
                      <w:szCs w:val="21"/>
                    </w:rPr>
                  </w:pPr>
                  <w:r>
                    <w:rPr>
                      <w:rFonts w:hint="eastAsia" w:cstheme="minorEastAsia"/>
                      <w:bCs/>
                      <w:szCs w:val="21"/>
                    </w:rPr>
                    <w:t>0.4</w:t>
                  </w:r>
                </w:p>
              </w:tc>
            </w:tr>
            <w:tr w14:paraId="73BBCE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687" w:type="pct"/>
                  <w:vAlign w:val="center"/>
                </w:tcPr>
                <w:p w14:paraId="74741206">
                  <w:pPr>
                    <w:tabs>
                      <w:tab w:val="left" w:pos="0"/>
                    </w:tabs>
                    <w:spacing w:line="240" w:lineRule="auto"/>
                    <w:ind w:firstLine="0" w:firstLineChars="0"/>
                    <w:jc w:val="center"/>
                    <w:rPr>
                      <w:rFonts w:cstheme="minorEastAsia"/>
                      <w:bCs/>
                      <w:szCs w:val="21"/>
                    </w:rPr>
                  </w:pPr>
                  <w:r>
                    <w:rPr>
                      <w:rFonts w:hint="eastAsia" w:cstheme="minorEastAsia"/>
                      <w:bCs/>
                      <w:szCs w:val="21"/>
                    </w:rPr>
                    <w:t>3</w:t>
                  </w:r>
                </w:p>
              </w:tc>
              <w:tc>
                <w:tcPr>
                  <w:tcW w:w="1870" w:type="pct"/>
                </w:tcPr>
                <w:p w14:paraId="23E47567">
                  <w:pPr>
                    <w:tabs>
                      <w:tab w:val="left" w:pos="0"/>
                    </w:tabs>
                    <w:spacing w:line="240" w:lineRule="auto"/>
                    <w:ind w:firstLine="0" w:firstLineChars="0"/>
                    <w:rPr>
                      <w:rFonts w:cstheme="minorEastAsia"/>
                      <w:bCs/>
                      <w:szCs w:val="21"/>
                    </w:rPr>
                  </w:pPr>
                  <w:r>
                    <w:rPr>
                      <w:rFonts w:hint="eastAsia" w:cstheme="minorEastAsia"/>
                      <w:bCs/>
                      <w:szCs w:val="21"/>
                    </w:rPr>
                    <w:t>操作平台或泵房等楼面</w:t>
                  </w:r>
                </w:p>
              </w:tc>
              <w:tc>
                <w:tcPr>
                  <w:tcW w:w="1501" w:type="pct"/>
                  <w:vAlign w:val="center"/>
                </w:tcPr>
                <w:p w14:paraId="0E78C8C3">
                  <w:pPr>
                    <w:tabs>
                      <w:tab w:val="left" w:pos="0"/>
                    </w:tabs>
                    <w:spacing w:line="240" w:lineRule="auto"/>
                    <w:ind w:firstLine="0" w:firstLineChars="0"/>
                    <w:jc w:val="center"/>
                    <w:rPr>
                      <w:rFonts w:cstheme="minorEastAsia"/>
                      <w:bCs/>
                      <w:szCs w:val="21"/>
                    </w:rPr>
                  </w:pPr>
                  <w:r>
                    <w:rPr>
                      <w:rFonts w:hint="eastAsia" w:cstheme="minorEastAsia"/>
                      <w:bCs/>
                      <w:szCs w:val="21"/>
                    </w:rPr>
                    <w:t>2.0</w:t>
                  </w:r>
                </w:p>
              </w:tc>
              <w:tc>
                <w:tcPr>
                  <w:tcW w:w="941" w:type="pct"/>
                  <w:vAlign w:val="center"/>
                </w:tcPr>
                <w:p w14:paraId="4ABA9A3C">
                  <w:pPr>
                    <w:tabs>
                      <w:tab w:val="left" w:pos="0"/>
                    </w:tabs>
                    <w:spacing w:line="240" w:lineRule="auto"/>
                    <w:ind w:firstLine="0" w:firstLineChars="0"/>
                    <w:jc w:val="center"/>
                    <w:rPr>
                      <w:rFonts w:cstheme="minorEastAsia"/>
                      <w:bCs/>
                      <w:szCs w:val="21"/>
                    </w:rPr>
                  </w:pPr>
                  <w:r>
                    <w:rPr>
                      <w:rFonts w:hint="eastAsia" w:cstheme="minorEastAsia"/>
                      <w:bCs/>
                      <w:szCs w:val="21"/>
                    </w:rPr>
                    <w:t>0.5</w:t>
                  </w:r>
                </w:p>
              </w:tc>
            </w:tr>
            <w:tr w14:paraId="2609A0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06FC7AD6">
                  <w:pPr>
                    <w:tabs>
                      <w:tab w:val="left" w:pos="0"/>
                    </w:tabs>
                    <w:spacing w:line="240" w:lineRule="auto"/>
                    <w:ind w:firstLine="0" w:firstLineChars="0"/>
                    <w:jc w:val="center"/>
                    <w:rPr>
                      <w:rFonts w:cstheme="minorEastAsia"/>
                      <w:bCs/>
                      <w:szCs w:val="21"/>
                    </w:rPr>
                  </w:pPr>
                  <w:r>
                    <w:rPr>
                      <w:rFonts w:hint="eastAsia" w:cstheme="minorEastAsia"/>
                      <w:bCs/>
                      <w:szCs w:val="21"/>
                    </w:rPr>
                    <w:t>4</w:t>
                  </w:r>
                </w:p>
              </w:tc>
              <w:tc>
                <w:tcPr>
                  <w:tcW w:w="1870" w:type="pct"/>
                </w:tcPr>
                <w:p w14:paraId="1F012934">
                  <w:pPr>
                    <w:tabs>
                      <w:tab w:val="left" w:pos="0"/>
                    </w:tabs>
                    <w:spacing w:line="240" w:lineRule="auto"/>
                    <w:ind w:firstLine="0" w:firstLineChars="0"/>
                    <w:rPr>
                      <w:rFonts w:cstheme="minorEastAsia"/>
                      <w:bCs/>
                      <w:szCs w:val="21"/>
                    </w:rPr>
                  </w:pPr>
                  <w:r>
                    <w:rPr>
                      <w:rFonts w:hint="eastAsia" w:cstheme="minorEastAsia"/>
                      <w:bCs/>
                      <w:szCs w:val="21"/>
                    </w:rPr>
                    <w:t>楼梯或走道板</w:t>
                  </w:r>
                </w:p>
              </w:tc>
              <w:tc>
                <w:tcPr>
                  <w:tcW w:w="1501" w:type="pct"/>
                  <w:vAlign w:val="center"/>
                </w:tcPr>
                <w:p w14:paraId="0A9671FB">
                  <w:pPr>
                    <w:tabs>
                      <w:tab w:val="left" w:pos="0"/>
                    </w:tabs>
                    <w:spacing w:line="240" w:lineRule="auto"/>
                    <w:ind w:firstLine="0" w:firstLineChars="0"/>
                    <w:jc w:val="center"/>
                    <w:rPr>
                      <w:rFonts w:cstheme="minorEastAsia"/>
                      <w:bCs/>
                      <w:szCs w:val="21"/>
                    </w:rPr>
                  </w:pPr>
                  <w:r>
                    <w:rPr>
                      <w:rFonts w:hint="eastAsia" w:cstheme="minorEastAsia"/>
                      <w:bCs/>
                      <w:szCs w:val="21"/>
                    </w:rPr>
                    <w:t>2.0</w:t>
                  </w:r>
                </w:p>
              </w:tc>
              <w:tc>
                <w:tcPr>
                  <w:tcW w:w="941" w:type="pct"/>
                  <w:vAlign w:val="center"/>
                </w:tcPr>
                <w:p w14:paraId="489F659A">
                  <w:pPr>
                    <w:tabs>
                      <w:tab w:val="left" w:pos="0"/>
                    </w:tabs>
                    <w:spacing w:line="240" w:lineRule="auto"/>
                    <w:ind w:firstLine="0" w:firstLineChars="0"/>
                    <w:jc w:val="center"/>
                    <w:rPr>
                      <w:rFonts w:cstheme="minorEastAsia"/>
                      <w:bCs/>
                      <w:szCs w:val="21"/>
                    </w:rPr>
                  </w:pPr>
                  <w:r>
                    <w:rPr>
                      <w:rFonts w:hint="eastAsia" w:cstheme="minorEastAsia"/>
                      <w:bCs/>
                      <w:szCs w:val="21"/>
                    </w:rPr>
                    <w:t>0.4</w:t>
                  </w:r>
                </w:p>
              </w:tc>
            </w:tr>
            <w:tr w14:paraId="0AE10E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5A59B3F9">
                  <w:pPr>
                    <w:tabs>
                      <w:tab w:val="left" w:pos="0"/>
                    </w:tabs>
                    <w:spacing w:line="240" w:lineRule="auto"/>
                    <w:ind w:firstLine="0" w:firstLineChars="0"/>
                    <w:jc w:val="center"/>
                    <w:rPr>
                      <w:rFonts w:cstheme="minorEastAsia"/>
                      <w:bCs/>
                      <w:szCs w:val="21"/>
                    </w:rPr>
                  </w:pPr>
                  <w:r>
                    <w:rPr>
                      <w:rFonts w:hint="eastAsia" w:cstheme="minorEastAsia"/>
                      <w:bCs/>
                      <w:szCs w:val="21"/>
                    </w:rPr>
                    <w:t>5</w:t>
                  </w:r>
                </w:p>
              </w:tc>
              <w:tc>
                <w:tcPr>
                  <w:tcW w:w="1870" w:type="pct"/>
                </w:tcPr>
                <w:p w14:paraId="3E5A4D65">
                  <w:pPr>
                    <w:tabs>
                      <w:tab w:val="left" w:pos="0"/>
                    </w:tabs>
                    <w:spacing w:line="240" w:lineRule="auto"/>
                    <w:ind w:firstLine="0" w:firstLineChars="0"/>
                    <w:rPr>
                      <w:rFonts w:cstheme="minorEastAsia"/>
                      <w:bCs/>
                      <w:szCs w:val="21"/>
                    </w:rPr>
                  </w:pPr>
                  <w:r>
                    <w:rPr>
                      <w:rFonts w:hint="eastAsia" w:cstheme="minorEastAsia"/>
                      <w:bCs/>
                      <w:szCs w:val="21"/>
                    </w:rPr>
                    <w:t>操作平台、楼梯的栏杆</w:t>
                  </w:r>
                </w:p>
              </w:tc>
              <w:tc>
                <w:tcPr>
                  <w:tcW w:w="1501" w:type="pct"/>
                  <w:vAlign w:val="center"/>
                </w:tcPr>
                <w:p w14:paraId="2957F1C9">
                  <w:pPr>
                    <w:tabs>
                      <w:tab w:val="left" w:pos="0"/>
                    </w:tabs>
                    <w:spacing w:line="240" w:lineRule="auto"/>
                    <w:ind w:firstLine="0" w:firstLineChars="0"/>
                    <w:jc w:val="center"/>
                    <w:rPr>
                      <w:rFonts w:cstheme="minorEastAsia"/>
                      <w:bCs/>
                      <w:szCs w:val="21"/>
                    </w:rPr>
                  </w:pPr>
                  <w:r>
                    <w:rPr>
                      <w:rFonts w:hint="eastAsia" w:cstheme="minorEastAsia"/>
                      <w:bCs/>
                      <w:szCs w:val="21"/>
                    </w:rPr>
                    <w:t>水平向1.0kN/m</w:t>
                  </w:r>
                </w:p>
              </w:tc>
              <w:tc>
                <w:tcPr>
                  <w:tcW w:w="941" w:type="pct"/>
                  <w:vAlign w:val="center"/>
                </w:tcPr>
                <w:p w14:paraId="2DE37A8C">
                  <w:pPr>
                    <w:tabs>
                      <w:tab w:val="left" w:pos="0"/>
                    </w:tabs>
                    <w:spacing w:line="240" w:lineRule="auto"/>
                    <w:ind w:firstLine="0" w:firstLineChars="0"/>
                    <w:jc w:val="center"/>
                    <w:rPr>
                      <w:rFonts w:cstheme="minorEastAsia"/>
                      <w:bCs/>
                      <w:szCs w:val="21"/>
                    </w:rPr>
                  </w:pPr>
                  <w:r>
                    <w:rPr>
                      <w:rFonts w:hint="eastAsia" w:cstheme="minorEastAsia"/>
                      <w:bCs/>
                      <w:szCs w:val="21"/>
                    </w:rPr>
                    <w:t>0.0</w:t>
                  </w:r>
                </w:p>
              </w:tc>
            </w:tr>
            <w:tr w14:paraId="1285DA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76E79D1D">
                  <w:pPr>
                    <w:tabs>
                      <w:tab w:val="left" w:pos="0"/>
                    </w:tabs>
                    <w:spacing w:line="240" w:lineRule="auto"/>
                    <w:ind w:firstLine="0" w:firstLineChars="0"/>
                    <w:rPr>
                      <w:rFonts w:cstheme="minorEastAsia"/>
                      <w:bCs/>
                      <w:sz w:val="20"/>
                      <w:szCs w:val="20"/>
                    </w:rPr>
                  </w:pPr>
                  <w:r>
                    <w:rPr>
                      <w:rFonts w:hint="eastAsia" w:cstheme="minorEastAsia"/>
                      <w:bCs/>
                      <w:sz w:val="20"/>
                      <w:szCs w:val="20"/>
                    </w:rPr>
                    <w:t>注</w:t>
                  </w:r>
                  <w:r>
                    <w:rPr>
                      <w:rFonts w:hint="eastAsia" w:cstheme="minorEastAsia"/>
                      <w:bCs/>
                      <w:sz w:val="20"/>
                      <w:szCs w:val="20"/>
                      <w:lang w:eastAsia="zh-CN"/>
                    </w:rPr>
                    <w:t>：</w:t>
                  </w:r>
                  <w:r>
                    <w:rPr>
                      <w:rFonts w:hint="eastAsia" w:cstheme="minorEastAsia"/>
                      <w:bCs/>
                      <w:sz w:val="20"/>
                      <w:szCs w:val="20"/>
                    </w:rPr>
                    <w:t>1 对水池顶盖，尚应根据施工或运行条件验算施工机械设备荷载或运输车辆荷载；</w:t>
                  </w:r>
                </w:p>
                <w:p w14:paraId="2E836A48">
                  <w:pPr>
                    <w:tabs>
                      <w:tab w:val="left" w:pos="0"/>
                    </w:tabs>
                    <w:spacing w:line="240" w:lineRule="auto"/>
                    <w:ind w:firstLine="0" w:firstLineChars="0"/>
                    <w:rPr>
                      <w:rFonts w:cstheme="minorEastAsia"/>
                      <w:bCs/>
                      <w:sz w:val="20"/>
                      <w:szCs w:val="20"/>
                    </w:rPr>
                  </w:pPr>
                  <w:r>
                    <w:rPr>
                      <w:rFonts w:hint="eastAsia" w:cstheme="minorEastAsia"/>
                      <w:bCs/>
                      <w:sz w:val="20"/>
                      <w:szCs w:val="20"/>
                    </w:rPr>
                    <w:t>2</w:t>
                  </w:r>
                  <w:r>
                    <w:rPr>
                      <w:rFonts w:hint="eastAsia" w:cstheme="minorEastAsia"/>
                      <w:bCs/>
                      <w:sz w:val="20"/>
                      <w:szCs w:val="20"/>
                      <w:lang w:val="en-US" w:eastAsia="zh-CN"/>
                    </w:rPr>
                    <w:t xml:space="preserve"> </w:t>
                  </w:r>
                  <w:r>
                    <w:rPr>
                      <w:rFonts w:hint="eastAsia" w:cstheme="minorEastAsia"/>
                      <w:bCs/>
                      <w:sz w:val="20"/>
                      <w:szCs w:val="20"/>
                    </w:rPr>
                    <w:t>对操作平台、泵房等楼面，尚应根据实际情况验算设备、运输工具、堆放物料等局部集中荷载；</w:t>
                  </w:r>
                </w:p>
                <w:p w14:paraId="029112AB">
                  <w:pPr>
                    <w:tabs>
                      <w:tab w:val="left" w:pos="0"/>
                    </w:tabs>
                    <w:spacing w:line="240" w:lineRule="auto"/>
                    <w:ind w:firstLine="0" w:firstLineChars="0"/>
                    <w:rPr>
                      <w:rFonts w:cstheme="minorEastAsia"/>
                      <w:bCs/>
                      <w:szCs w:val="21"/>
                    </w:rPr>
                  </w:pPr>
                  <w:r>
                    <w:rPr>
                      <w:rFonts w:hint="eastAsia" w:cstheme="minorEastAsia"/>
                      <w:bCs/>
                      <w:sz w:val="20"/>
                      <w:szCs w:val="20"/>
                    </w:rPr>
                    <w:t>3 对预制楼梯踏步，尚应按集中活荷载标准值1.5kN验算。</w:t>
                  </w:r>
                </w:p>
              </w:tc>
            </w:tr>
          </w:tbl>
          <w:p w14:paraId="3422ED4D">
            <w:pPr>
              <w:pStyle w:val="35"/>
              <w:tabs>
                <w:tab w:val="left" w:pos="0"/>
              </w:tabs>
              <w:rPr>
                <w:b/>
                <w:bCs/>
              </w:rPr>
            </w:pPr>
          </w:p>
          <w:p w14:paraId="3AF67445">
            <w:pPr>
              <w:pStyle w:val="35"/>
              <w:tabs>
                <w:tab w:val="left" w:pos="0"/>
              </w:tabs>
              <w:rPr>
                <w:b/>
                <w:bCs/>
              </w:rPr>
            </w:pPr>
            <w:r>
              <w:rPr>
                <w:rFonts w:hint="eastAsia"/>
                <w:b/>
                <w:bCs/>
              </w:rPr>
              <w:t>《建筑与小区雨水控制及利用工程技术规范》GB 50400-2016</w:t>
            </w:r>
          </w:p>
          <w:p w14:paraId="1BD757FB">
            <w:pPr>
              <w:pStyle w:val="35"/>
              <w:tabs>
                <w:tab w:val="left" w:pos="0"/>
              </w:tabs>
            </w:pPr>
            <w:r>
              <w:rPr>
                <w:rFonts w:hint="eastAsia"/>
              </w:rPr>
              <w:t>7.2.8 塑料模块和硅砂砌块组合蓄水池应符合下列规定：</w:t>
            </w:r>
          </w:p>
          <w:p w14:paraId="2F56F4A7">
            <w:pPr>
              <w:pStyle w:val="35"/>
              <w:tabs>
                <w:tab w:val="left" w:pos="0"/>
              </w:tabs>
              <w:ind w:firstLine="420" w:firstLineChars="200"/>
            </w:pPr>
            <w:r>
              <w:rPr>
                <w:rFonts w:hint="eastAsia"/>
              </w:rPr>
              <w:t>1 池体强度应满足地面及土壤承载力的要求；</w:t>
            </w:r>
          </w:p>
          <w:p w14:paraId="35F4748C">
            <w:pPr>
              <w:pStyle w:val="35"/>
              <w:tabs>
                <w:tab w:val="left" w:pos="0"/>
              </w:tabs>
              <w:ind w:firstLine="420" w:firstLineChars="200"/>
            </w:pPr>
            <w:r>
              <w:rPr>
                <w:rFonts w:hint="eastAsia"/>
              </w:rPr>
              <w:t>5 水池应设混凝土底板；当底板低于地下水位时，水池应满足抗浮要求。</w:t>
            </w:r>
          </w:p>
          <w:p w14:paraId="7E27FC71">
            <w:pPr>
              <w:tabs>
                <w:tab w:val="left" w:pos="0"/>
              </w:tabs>
              <w:ind w:firstLine="0" w:firstLineChars="0"/>
              <w:rPr>
                <w:b/>
                <w:bCs/>
                <w:i/>
                <w:iCs/>
              </w:rPr>
            </w:pPr>
            <w:r>
              <w:rPr>
                <w:rFonts w:hint="eastAsia"/>
                <w:b/>
                <w:bCs/>
                <w:i/>
                <w:iCs/>
              </w:rPr>
              <w:t>审查说明：调蓄池、调蓄模块等应有详图，明确做法，提供平面位置、尺寸、剖面标高等关键信息，以供进行抗浮设计复核。</w:t>
            </w:r>
          </w:p>
          <w:p w14:paraId="5F0C763B">
            <w:pPr>
              <w:tabs>
                <w:tab w:val="left" w:pos="0"/>
              </w:tabs>
              <w:ind w:firstLine="0" w:firstLineChars="0"/>
              <w:rPr>
                <w:b/>
                <w:bCs/>
                <w:i/>
                <w:iCs/>
              </w:rPr>
            </w:pPr>
          </w:p>
          <w:p w14:paraId="7C20A6F2">
            <w:pPr>
              <w:pStyle w:val="35"/>
              <w:tabs>
                <w:tab w:val="left" w:pos="420"/>
              </w:tabs>
              <w:rPr>
                <w:rFonts w:cs="Times New Roman"/>
                <w:b/>
                <w:bCs/>
                <w:szCs w:val="21"/>
              </w:rPr>
            </w:pPr>
            <w:r>
              <w:rPr>
                <w:rFonts w:cs="Times New Roman"/>
                <w:b/>
                <w:bCs/>
                <w:szCs w:val="21"/>
              </w:rPr>
              <w:t>《海绵城市规划与设计标准》DG/TJ 08-2298-2026</w:t>
            </w:r>
          </w:p>
          <w:p w14:paraId="0BB1993D">
            <w:pPr>
              <w:pStyle w:val="35"/>
              <w:tabs>
                <w:tab w:val="left" w:pos="0"/>
              </w:tabs>
            </w:pPr>
            <w:r>
              <w:rPr>
                <w:rFonts w:hint="eastAsia"/>
              </w:rPr>
              <w:t>6.4.18 浅层调蓄设施的设计应符合下列规定：</w:t>
            </w:r>
          </w:p>
          <w:p w14:paraId="37506E6F">
            <w:pPr>
              <w:pStyle w:val="35"/>
              <w:tabs>
                <w:tab w:val="left" w:pos="0"/>
              </w:tabs>
              <w:ind w:firstLine="420" w:firstLineChars="200"/>
            </w:pPr>
            <w:r>
              <w:rPr>
                <w:rFonts w:hint="eastAsia"/>
              </w:rPr>
              <w:t>1 浅层调蓄设施的竖向荷载能力和侧向荷载能力应满足上层铺装和道路荷载与施工要求。</w:t>
            </w:r>
          </w:p>
          <w:p w14:paraId="23A977C9">
            <w:pPr>
              <w:ind w:firstLine="420" w:firstLineChars="0"/>
            </w:pPr>
            <w:r>
              <w:rPr>
                <w:rFonts w:hint="eastAsia"/>
              </w:rPr>
              <w:t>2 应根据抗浮设防水位进行抗浮设计。</w:t>
            </w:r>
          </w:p>
          <w:p w14:paraId="37651D3B">
            <w:pPr>
              <w:ind w:firstLine="420" w:firstLineChars="0"/>
            </w:pPr>
          </w:p>
          <w:p w14:paraId="3D1F37A7">
            <w:pPr>
              <w:pStyle w:val="35"/>
              <w:tabs>
                <w:tab w:val="left" w:pos="420"/>
              </w:tabs>
              <w:rPr>
                <w:b/>
                <w:bCs/>
              </w:rPr>
            </w:pPr>
            <w:r>
              <w:rPr>
                <w:rFonts w:hint="eastAsia"/>
                <w:b/>
                <w:bCs/>
              </w:rPr>
              <w:t>《模块化雨水储水设施技术标准》</w:t>
            </w:r>
            <w:r>
              <w:rPr>
                <w:b/>
                <w:bCs/>
              </w:rPr>
              <w:t>CJJ/T 311-2020</w:t>
            </w:r>
          </w:p>
          <w:p w14:paraId="71A6C5A0">
            <w:pPr>
              <w:tabs>
                <w:tab w:val="left" w:pos="420"/>
              </w:tabs>
              <w:ind w:firstLine="0" w:firstLineChars="0"/>
            </w:pPr>
            <w:r>
              <w:t>7.1.1</w:t>
            </w:r>
            <w:r>
              <w:rPr>
                <w:rFonts w:hint="eastAsia"/>
              </w:rPr>
              <w:t xml:space="preserve"> 模块储水池的结构设计应符合下列规定：</w:t>
            </w:r>
          </w:p>
          <w:p w14:paraId="25F881AA">
            <w:pPr>
              <w:tabs>
                <w:tab w:val="left" w:pos="420"/>
              </w:tabs>
              <w:ind w:firstLine="420"/>
            </w:pPr>
            <w:r>
              <w:rPr>
                <w:rFonts w:hint="eastAsia"/>
              </w:rPr>
              <w:t>1 使用年限不应低于50年，安全等级不应低于二级；</w:t>
            </w:r>
          </w:p>
          <w:p w14:paraId="49931805">
            <w:pPr>
              <w:tabs>
                <w:tab w:val="left" w:pos="420"/>
              </w:tabs>
              <w:ind w:firstLine="420"/>
            </w:pPr>
            <w:r>
              <w:rPr>
                <w:rFonts w:hint="eastAsia"/>
              </w:rPr>
              <w:t>3 组合荷载作用下，组装成的池体应保持稳定；</w:t>
            </w:r>
          </w:p>
          <w:p w14:paraId="2B0D59AD">
            <w:pPr>
              <w:tabs>
                <w:tab w:val="left" w:pos="420"/>
              </w:tabs>
              <w:ind w:firstLine="420" w:firstLineChars="0"/>
            </w:pPr>
            <w:r>
              <w:rPr>
                <w:rFonts w:hint="eastAsia"/>
              </w:rPr>
              <w:t>4 在池顶覆土和自重作用下，抗浮稳定性抗力系数不应低于1.10。</w:t>
            </w:r>
          </w:p>
          <w:p w14:paraId="4458F415">
            <w:pPr>
              <w:ind w:firstLine="0" w:firstLineChars="0"/>
              <w:rPr>
                <w:rFonts w:hint="eastAsia"/>
                <w:b/>
                <w:bCs/>
                <w:i/>
                <w:iCs/>
              </w:rPr>
            </w:pPr>
            <w:r>
              <w:rPr>
                <w:rFonts w:hint="eastAsia"/>
                <w:b/>
                <w:bCs/>
                <w:i/>
                <w:iCs/>
              </w:rPr>
              <w:t>审查说明：模块储水池为塑料储水模块箱体或硅砂模块井组装成的具有高孔隙率的储水设施的总称，简称模块储水池设施，包括塑料（PP、PE）蓄水模块、硅砂蓄水模块等。</w:t>
            </w:r>
          </w:p>
        </w:tc>
      </w:tr>
    </w:tbl>
    <w:p w14:paraId="30489556">
      <w:pPr>
        <w:pStyle w:val="4"/>
        <w:spacing w:before="312" w:beforeLines="100"/>
      </w:pPr>
      <w:bookmarkStart w:id="60" w:name="_Toc232627968"/>
      <w:bookmarkStart w:id="61" w:name="_Toc4849"/>
      <w:bookmarkStart w:id="62" w:name="_Toc870691371"/>
      <w:bookmarkStart w:id="63" w:name="_Toc10581"/>
      <w:bookmarkStart w:id="64" w:name="_Toc18375"/>
      <w:r>
        <w:rPr>
          <w:rFonts w:hint="eastAsia"/>
        </w:rPr>
        <w:t>给水排水专业</w:t>
      </w:r>
      <w:bookmarkEnd w:id="60"/>
      <w:bookmarkEnd w:id="61"/>
      <w:bookmarkEnd w:id="62"/>
      <w:bookmarkEnd w:id="63"/>
      <w:bookmarkEnd w:id="64"/>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13"/>
        <w:gridCol w:w="6896"/>
      </w:tblGrid>
      <w:tr w14:paraId="288CEB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408" w:type="pct"/>
            <w:tcBorders>
              <w:tl2br w:val="nil"/>
              <w:tr2bl w:val="nil"/>
            </w:tcBorders>
            <w:vAlign w:val="center"/>
          </w:tcPr>
          <w:p w14:paraId="6B95E486">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序号</w:t>
            </w:r>
          </w:p>
        </w:tc>
        <w:tc>
          <w:tcPr>
            <w:tcW w:w="638" w:type="pct"/>
            <w:tcBorders>
              <w:tl2br w:val="nil"/>
              <w:tr2bl w:val="nil"/>
            </w:tcBorders>
            <w:vAlign w:val="center"/>
          </w:tcPr>
          <w:p w14:paraId="706CD22D">
            <w:pPr>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审查项目</w:t>
            </w:r>
          </w:p>
        </w:tc>
        <w:tc>
          <w:tcPr>
            <w:tcW w:w="3953" w:type="pct"/>
            <w:tcBorders>
              <w:tl2br w:val="nil"/>
              <w:tr2bl w:val="nil"/>
            </w:tcBorders>
            <w:vAlign w:val="center"/>
          </w:tcPr>
          <w:p w14:paraId="19C7FEF6">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审查的标准及条文</w:t>
            </w:r>
          </w:p>
        </w:tc>
      </w:tr>
      <w:tr w14:paraId="7F89124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08" w:type="pct"/>
            <w:tcBorders>
              <w:tl2br w:val="nil"/>
              <w:tr2bl w:val="nil"/>
            </w:tcBorders>
            <w:vAlign w:val="center"/>
          </w:tcPr>
          <w:p w14:paraId="41344A72">
            <w:pPr>
              <w:widowControl/>
              <w:numPr>
                <w:ilvl w:val="0"/>
                <w:numId w:val="4"/>
              </w:numPr>
              <w:ind w:left="0" w:firstLineChars="0"/>
              <w:contextualSpacing/>
              <w:jc w:val="center"/>
              <w:rPr>
                <w:rFonts w:eastAsia="黑体"/>
                <w:bCs/>
                <w:kern w:val="0"/>
                <w:szCs w:val="21"/>
              </w:rPr>
            </w:pPr>
          </w:p>
        </w:tc>
        <w:tc>
          <w:tcPr>
            <w:tcW w:w="638" w:type="pct"/>
            <w:tcBorders>
              <w:tl2br w:val="nil"/>
              <w:tr2bl w:val="nil"/>
            </w:tcBorders>
            <w:vAlign w:val="center"/>
          </w:tcPr>
          <w:p w14:paraId="0E18DE4B">
            <w:pPr>
              <w:ind w:firstLine="0" w:firstLineChars="0"/>
              <w:jc w:val="center"/>
            </w:pPr>
            <w:r>
              <w:rPr>
                <w:rFonts w:hint="eastAsia"/>
              </w:rPr>
              <w:t>设计与施工说明</w:t>
            </w:r>
          </w:p>
        </w:tc>
        <w:tc>
          <w:tcPr>
            <w:tcW w:w="3953" w:type="pct"/>
            <w:tcBorders>
              <w:tl2br w:val="nil"/>
              <w:tr2bl w:val="nil"/>
            </w:tcBorders>
            <w:vAlign w:val="center"/>
          </w:tcPr>
          <w:p w14:paraId="6B14A5C8">
            <w:pPr>
              <w:pStyle w:val="35"/>
              <w:tabs>
                <w:tab w:val="left" w:pos="0"/>
              </w:tabs>
              <w:rPr>
                <w:szCs w:val="21"/>
              </w:rPr>
            </w:pPr>
            <w:r>
              <w:rPr>
                <w:rFonts w:hint="eastAsia"/>
                <w:b/>
                <w:bCs/>
              </w:rPr>
              <w:t>《室外排水设计标准》GB 50014-2021</w:t>
            </w:r>
          </w:p>
          <w:p w14:paraId="1228CEE3">
            <w:pPr>
              <w:pStyle w:val="35"/>
              <w:tabs>
                <w:tab w:val="left" w:pos="0"/>
              </w:tabs>
            </w:pPr>
            <w:r>
              <w:rPr>
                <w:rFonts w:hint="eastAsia"/>
              </w:rPr>
              <w:t>4.1.1 源头减排设施的设计水量应根据年径流总量控制率确定，并应明确相应的设计降雨量。</w:t>
            </w:r>
          </w:p>
          <w:p w14:paraId="2743C39B">
            <w:pPr>
              <w:pStyle w:val="35"/>
              <w:tabs>
                <w:tab w:val="left" w:pos="420"/>
              </w:tabs>
              <w:rPr>
                <w:rFonts w:cs="Times New Roman"/>
                <w:b/>
                <w:bCs/>
                <w:szCs w:val="21"/>
              </w:rPr>
            </w:pPr>
          </w:p>
          <w:p w14:paraId="00BD8DD8">
            <w:pPr>
              <w:pStyle w:val="35"/>
              <w:tabs>
                <w:tab w:val="left" w:pos="420"/>
              </w:tabs>
              <w:rPr>
                <w:rFonts w:cs="Times New Roman"/>
                <w:b/>
                <w:bCs/>
                <w:szCs w:val="21"/>
              </w:rPr>
            </w:pPr>
            <w:r>
              <w:rPr>
                <w:rFonts w:cs="Times New Roman"/>
                <w:b/>
                <w:bCs/>
                <w:szCs w:val="21"/>
              </w:rPr>
              <w:t>《海绵城市规划与设计标准》DG/TJ 08-2298-2026</w:t>
            </w:r>
          </w:p>
          <w:p w14:paraId="02F74DCC">
            <w:pPr>
              <w:pStyle w:val="35"/>
              <w:tabs>
                <w:tab w:val="left" w:pos="0"/>
              </w:tabs>
            </w:pPr>
            <w:r>
              <w:rPr>
                <w:rFonts w:hint="eastAsia"/>
              </w:rPr>
              <w:t>6.2.1 建设项目的海绵城市设计计算应包括年径流总量控制率、年径流污染控制率、径流峰值控制对应的调蓄量。</w:t>
            </w:r>
          </w:p>
          <w:p w14:paraId="647032AC">
            <w:pPr>
              <w:pStyle w:val="35"/>
              <w:tabs>
                <w:tab w:val="left" w:pos="0"/>
              </w:tabs>
              <w:rPr>
                <w:b/>
                <w:bCs/>
                <w:i/>
                <w:iCs/>
              </w:rPr>
            </w:pPr>
            <w:r>
              <w:rPr>
                <w:rFonts w:hint="eastAsia"/>
                <w:b/>
                <w:bCs/>
                <w:i/>
                <w:iCs/>
              </w:rPr>
              <w:t>审查说明：施工图设计应针对相关规划或海绵城市主管部门核提的项目海绵城市建设指标提供设计计算书，计算书中应给出各项指标的计算过程，并对照指标要求明确是否达标。计算书中还应对海绵设施进水通道、溢流通道的过流能力进行复核。</w:t>
            </w:r>
          </w:p>
          <w:p w14:paraId="3F54D23A">
            <w:pPr>
              <w:pStyle w:val="35"/>
              <w:tabs>
                <w:tab w:val="left" w:pos="0"/>
              </w:tabs>
              <w:rPr>
                <w:b/>
                <w:bCs/>
              </w:rPr>
            </w:pPr>
          </w:p>
          <w:p w14:paraId="3411CF37">
            <w:pPr>
              <w:pStyle w:val="35"/>
              <w:tabs>
                <w:tab w:val="left" w:pos="0"/>
              </w:tabs>
            </w:pPr>
            <w:r>
              <w:rPr>
                <w:rFonts w:hint="eastAsia"/>
              </w:rPr>
              <w:t>4.0.5年径流总量控制率和设计降雨量的对应关系应按表4.0.5的规定确定。</w:t>
            </w:r>
          </w:p>
          <w:p w14:paraId="2A474A26">
            <w:pPr>
              <w:pStyle w:val="35"/>
              <w:tabs>
                <w:tab w:val="left" w:pos="0"/>
              </w:tabs>
              <w:jc w:val="center"/>
              <w:rPr>
                <w:szCs w:val="21"/>
              </w:rPr>
            </w:pPr>
            <w:r>
              <w:rPr>
                <w:rFonts w:hint="eastAsia"/>
                <w:szCs w:val="21"/>
              </w:rPr>
              <w:t>表4.0.5上海市年径流总量控制率与设计降雨量的关系</w:t>
            </w:r>
          </w:p>
          <w:tbl>
            <w:tblPr>
              <w:tblStyle w:val="24"/>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611"/>
              <w:gridCol w:w="581"/>
              <w:gridCol w:w="581"/>
              <w:gridCol w:w="581"/>
              <w:gridCol w:w="581"/>
              <w:gridCol w:w="581"/>
              <w:gridCol w:w="581"/>
              <w:gridCol w:w="584"/>
            </w:tblGrid>
            <w:tr w14:paraId="7B265C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c>
                <w:tcPr>
                  <w:tcW w:w="1954" w:type="pct"/>
                  <w:vAlign w:val="top"/>
                </w:tcPr>
                <w:p w14:paraId="0BF44D21">
                  <w:pPr>
                    <w:pStyle w:val="35"/>
                    <w:tabs>
                      <w:tab w:val="left" w:pos="0"/>
                    </w:tabs>
                    <w:spacing w:line="240" w:lineRule="auto"/>
                    <w:jc w:val="center"/>
                    <w:rPr>
                      <w:szCs w:val="21"/>
                    </w:rPr>
                  </w:pPr>
                  <w:r>
                    <w:rPr>
                      <w:rFonts w:hint="eastAsia"/>
                      <w:szCs w:val="21"/>
                    </w:rPr>
                    <w:t>年径流总量控制率（%）</w:t>
                  </w:r>
                </w:p>
              </w:tc>
              <w:tc>
                <w:tcPr>
                  <w:tcW w:w="434" w:type="pct"/>
                </w:tcPr>
                <w:p w14:paraId="363F9CBE">
                  <w:pPr>
                    <w:pStyle w:val="35"/>
                    <w:tabs>
                      <w:tab w:val="left" w:pos="0"/>
                    </w:tabs>
                    <w:spacing w:line="240" w:lineRule="auto"/>
                    <w:jc w:val="center"/>
                    <w:rPr>
                      <w:szCs w:val="21"/>
                    </w:rPr>
                  </w:pPr>
                  <w:r>
                    <w:rPr>
                      <w:rFonts w:hint="eastAsia"/>
                      <w:szCs w:val="21"/>
                    </w:rPr>
                    <w:t>60</w:t>
                  </w:r>
                </w:p>
              </w:tc>
              <w:tc>
                <w:tcPr>
                  <w:tcW w:w="434" w:type="pct"/>
                </w:tcPr>
                <w:p w14:paraId="416CEFE1">
                  <w:pPr>
                    <w:pStyle w:val="35"/>
                    <w:tabs>
                      <w:tab w:val="left" w:pos="0"/>
                    </w:tabs>
                    <w:spacing w:line="240" w:lineRule="auto"/>
                    <w:jc w:val="center"/>
                    <w:rPr>
                      <w:szCs w:val="21"/>
                    </w:rPr>
                  </w:pPr>
                  <w:r>
                    <w:rPr>
                      <w:rFonts w:hint="eastAsia"/>
                      <w:szCs w:val="21"/>
                    </w:rPr>
                    <w:t>65</w:t>
                  </w:r>
                </w:p>
              </w:tc>
              <w:tc>
                <w:tcPr>
                  <w:tcW w:w="434" w:type="pct"/>
                </w:tcPr>
                <w:p w14:paraId="0B3B4FD3">
                  <w:pPr>
                    <w:pStyle w:val="35"/>
                    <w:tabs>
                      <w:tab w:val="left" w:pos="0"/>
                    </w:tabs>
                    <w:spacing w:line="240" w:lineRule="auto"/>
                    <w:jc w:val="center"/>
                    <w:rPr>
                      <w:szCs w:val="21"/>
                    </w:rPr>
                  </w:pPr>
                  <w:r>
                    <w:rPr>
                      <w:rFonts w:hint="eastAsia"/>
                      <w:szCs w:val="21"/>
                    </w:rPr>
                    <w:t>70</w:t>
                  </w:r>
                </w:p>
              </w:tc>
              <w:tc>
                <w:tcPr>
                  <w:tcW w:w="434" w:type="pct"/>
                </w:tcPr>
                <w:p w14:paraId="7D721742">
                  <w:pPr>
                    <w:pStyle w:val="35"/>
                    <w:tabs>
                      <w:tab w:val="left" w:pos="0"/>
                    </w:tabs>
                    <w:spacing w:line="240" w:lineRule="auto"/>
                    <w:jc w:val="center"/>
                    <w:rPr>
                      <w:szCs w:val="21"/>
                    </w:rPr>
                  </w:pPr>
                  <w:r>
                    <w:rPr>
                      <w:rFonts w:hint="eastAsia"/>
                      <w:szCs w:val="21"/>
                    </w:rPr>
                    <w:t>75</w:t>
                  </w:r>
                </w:p>
              </w:tc>
              <w:tc>
                <w:tcPr>
                  <w:tcW w:w="434" w:type="pct"/>
                </w:tcPr>
                <w:p w14:paraId="1CF3355E">
                  <w:pPr>
                    <w:pStyle w:val="35"/>
                    <w:tabs>
                      <w:tab w:val="left" w:pos="0"/>
                    </w:tabs>
                    <w:spacing w:line="240" w:lineRule="auto"/>
                    <w:jc w:val="center"/>
                    <w:rPr>
                      <w:szCs w:val="21"/>
                    </w:rPr>
                  </w:pPr>
                  <w:r>
                    <w:rPr>
                      <w:rFonts w:hint="eastAsia"/>
                      <w:szCs w:val="21"/>
                    </w:rPr>
                    <w:t>80</w:t>
                  </w:r>
                </w:p>
              </w:tc>
              <w:tc>
                <w:tcPr>
                  <w:tcW w:w="434" w:type="pct"/>
                </w:tcPr>
                <w:p w14:paraId="39530A53">
                  <w:pPr>
                    <w:pStyle w:val="35"/>
                    <w:tabs>
                      <w:tab w:val="left" w:pos="0"/>
                    </w:tabs>
                    <w:spacing w:line="240" w:lineRule="auto"/>
                    <w:jc w:val="center"/>
                    <w:rPr>
                      <w:szCs w:val="21"/>
                    </w:rPr>
                  </w:pPr>
                  <w:r>
                    <w:rPr>
                      <w:rFonts w:hint="eastAsia"/>
                      <w:szCs w:val="21"/>
                    </w:rPr>
                    <w:t>85</w:t>
                  </w:r>
                </w:p>
              </w:tc>
              <w:tc>
                <w:tcPr>
                  <w:tcW w:w="437" w:type="pct"/>
                </w:tcPr>
                <w:p w14:paraId="41BFEE50">
                  <w:pPr>
                    <w:pStyle w:val="35"/>
                    <w:tabs>
                      <w:tab w:val="left" w:pos="0"/>
                    </w:tabs>
                    <w:spacing w:line="240" w:lineRule="auto"/>
                    <w:jc w:val="center"/>
                    <w:rPr>
                      <w:szCs w:val="21"/>
                    </w:rPr>
                  </w:pPr>
                  <w:r>
                    <w:rPr>
                      <w:rFonts w:hint="eastAsia"/>
                      <w:szCs w:val="21"/>
                    </w:rPr>
                    <w:t>90</w:t>
                  </w:r>
                </w:p>
              </w:tc>
            </w:tr>
            <w:tr w14:paraId="5FAB61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c>
                <w:tcPr>
                  <w:tcW w:w="1954" w:type="pct"/>
                  <w:vAlign w:val="top"/>
                </w:tcPr>
                <w:p w14:paraId="09C82FEB">
                  <w:pPr>
                    <w:pStyle w:val="35"/>
                    <w:tabs>
                      <w:tab w:val="left" w:pos="0"/>
                    </w:tabs>
                    <w:spacing w:line="240" w:lineRule="auto"/>
                    <w:jc w:val="center"/>
                    <w:rPr>
                      <w:szCs w:val="21"/>
                    </w:rPr>
                  </w:pPr>
                  <w:r>
                    <w:rPr>
                      <w:rFonts w:hint="eastAsia"/>
                      <w:szCs w:val="21"/>
                    </w:rPr>
                    <w:t>设计日降雨量（mm）</w:t>
                  </w:r>
                </w:p>
              </w:tc>
              <w:tc>
                <w:tcPr>
                  <w:tcW w:w="434" w:type="pct"/>
                </w:tcPr>
                <w:p w14:paraId="5FE2FDD8">
                  <w:pPr>
                    <w:pStyle w:val="35"/>
                    <w:tabs>
                      <w:tab w:val="left" w:pos="0"/>
                    </w:tabs>
                    <w:spacing w:line="240" w:lineRule="auto"/>
                    <w:jc w:val="center"/>
                    <w:rPr>
                      <w:szCs w:val="21"/>
                    </w:rPr>
                  </w:pPr>
                  <w:r>
                    <w:rPr>
                      <w:rFonts w:hint="eastAsia"/>
                      <w:szCs w:val="21"/>
                    </w:rPr>
                    <w:t>13.4</w:t>
                  </w:r>
                </w:p>
              </w:tc>
              <w:tc>
                <w:tcPr>
                  <w:tcW w:w="434" w:type="pct"/>
                </w:tcPr>
                <w:p w14:paraId="22313F82">
                  <w:pPr>
                    <w:pStyle w:val="35"/>
                    <w:tabs>
                      <w:tab w:val="left" w:pos="0"/>
                    </w:tabs>
                    <w:spacing w:line="240" w:lineRule="auto"/>
                    <w:jc w:val="center"/>
                    <w:rPr>
                      <w:szCs w:val="21"/>
                    </w:rPr>
                  </w:pPr>
                  <w:r>
                    <w:rPr>
                      <w:rFonts w:hint="eastAsia"/>
                      <w:szCs w:val="21"/>
                    </w:rPr>
                    <w:t>16.1</w:t>
                  </w:r>
                </w:p>
              </w:tc>
              <w:tc>
                <w:tcPr>
                  <w:tcW w:w="434" w:type="pct"/>
                </w:tcPr>
                <w:p w14:paraId="565E1140">
                  <w:pPr>
                    <w:pStyle w:val="35"/>
                    <w:tabs>
                      <w:tab w:val="left" w:pos="0"/>
                    </w:tabs>
                    <w:spacing w:line="240" w:lineRule="auto"/>
                    <w:jc w:val="center"/>
                    <w:rPr>
                      <w:szCs w:val="21"/>
                    </w:rPr>
                  </w:pPr>
                  <w:r>
                    <w:rPr>
                      <w:rFonts w:hint="eastAsia"/>
                      <w:szCs w:val="21"/>
                    </w:rPr>
                    <w:t>18.7</w:t>
                  </w:r>
                </w:p>
              </w:tc>
              <w:tc>
                <w:tcPr>
                  <w:tcW w:w="434" w:type="pct"/>
                </w:tcPr>
                <w:p w14:paraId="71C8B8D6">
                  <w:pPr>
                    <w:pStyle w:val="35"/>
                    <w:tabs>
                      <w:tab w:val="left" w:pos="0"/>
                    </w:tabs>
                    <w:spacing w:line="240" w:lineRule="auto"/>
                    <w:jc w:val="center"/>
                    <w:rPr>
                      <w:szCs w:val="21"/>
                    </w:rPr>
                  </w:pPr>
                  <w:r>
                    <w:rPr>
                      <w:rFonts w:hint="eastAsia"/>
                      <w:szCs w:val="21"/>
                    </w:rPr>
                    <w:t>22.2</w:t>
                  </w:r>
                </w:p>
              </w:tc>
              <w:tc>
                <w:tcPr>
                  <w:tcW w:w="434" w:type="pct"/>
                </w:tcPr>
                <w:p w14:paraId="3C67DBDC">
                  <w:pPr>
                    <w:pStyle w:val="35"/>
                    <w:tabs>
                      <w:tab w:val="left" w:pos="0"/>
                    </w:tabs>
                    <w:spacing w:line="240" w:lineRule="auto"/>
                    <w:jc w:val="center"/>
                    <w:rPr>
                      <w:szCs w:val="21"/>
                    </w:rPr>
                  </w:pPr>
                  <w:r>
                    <w:rPr>
                      <w:rFonts w:hint="eastAsia"/>
                      <w:szCs w:val="21"/>
                    </w:rPr>
                    <w:t>26.7</w:t>
                  </w:r>
                </w:p>
              </w:tc>
              <w:tc>
                <w:tcPr>
                  <w:tcW w:w="434" w:type="pct"/>
                </w:tcPr>
                <w:p w14:paraId="776A52F9">
                  <w:pPr>
                    <w:pStyle w:val="35"/>
                    <w:tabs>
                      <w:tab w:val="left" w:pos="0"/>
                    </w:tabs>
                    <w:spacing w:line="240" w:lineRule="auto"/>
                    <w:jc w:val="center"/>
                    <w:rPr>
                      <w:szCs w:val="21"/>
                    </w:rPr>
                  </w:pPr>
                  <w:r>
                    <w:rPr>
                      <w:rFonts w:hint="eastAsia"/>
                      <w:szCs w:val="21"/>
                    </w:rPr>
                    <w:t>33.0</w:t>
                  </w:r>
                </w:p>
              </w:tc>
              <w:tc>
                <w:tcPr>
                  <w:tcW w:w="437" w:type="pct"/>
                </w:tcPr>
                <w:p w14:paraId="44FE024F">
                  <w:pPr>
                    <w:pStyle w:val="35"/>
                    <w:tabs>
                      <w:tab w:val="left" w:pos="0"/>
                    </w:tabs>
                    <w:spacing w:line="240" w:lineRule="auto"/>
                    <w:jc w:val="center"/>
                    <w:rPr>
                      <w:szCs w:val="21"/>
                    </w:rPr>
                  </w:pPr>
                  <w:r>
                    <w:rPr>
                      <w:rFonts w:hint="eastAsia"/>
                      <w:szCs w:val="21"/>
                    </w:rPr>
                    <w:t>42.2</w:t>
                  </w:r>
                </w:p>
              </w:tc>
            </w:tr>
          </w:tbl>
          <w:p w14:paraId="4CBE91D7">
            <w:pPr>
              <w:pStyle w:val="35"/>
              <w:tabs>
                <w:tab w:val="left" w:pos="0"/>
              </w:tabs>
              <w:spacing w:before="156" w:beforeLines="50"/>
            </w:pPr>
            <w:r>
              <w:rPr>
                <w:rFonts w:hint="eastAsia"/>
                <w:b/>
                <w:bCs/>
                <w:i/>
                <w:iCs/>
              </w:rPr>
              <w:t>审查说明：表中未列及数据可查阅该标准条文说明中给出的“上海市年径流总量控制率对应的设计降雨量的关系图”，或根据相应的海绵城市建设规划确定。</w:t>
            </w:r>
          </w:p>
          <w:p w14:paraId="45EDCAC8">
            <w:pPr>
              <w:pStyle w:val="35"/>
              <w:tabs>
                <w:tab w:val="left" w:pos="0"/>
              </w:tabs>
            </w:pPr>
          </w:p>
          <w:p w14:paraId="4E894727">
            <w:pPr>
              <w:pStyle w:val="35"/>
              <w:tabs>
                <w:tab w:val="left" w:pos="0"/>
              </w:tabs>
            </w:pPr>
            <w:r>
              <w:rPr>
                <w:rFonts w:hint="eastAsia"/>
              </w:rPr>
              <w:t>6.2.2 年径流总量控制率对应的调蓄量可按下列公式计算：</w:t>
            </w:r>
          </w:p>
          <w:p w14:paraId="037B7D9C">
            <w:pPr>
              <w:pStyle w:val="35"/>
              <w:tabs>
                <w:tab w:val="left" w:pos="0"/>
              </w:tabs>
              <w:rPr>
                <w:rFonts w:eastAsiaTheme="minorEastAsia" w:cstheme="minorEastAsia"/>
                <w:bCs/>
                <w:i/>
                <w:szCs w:val="21"/>
              </w:rPr>
            </w:pPr>
            <m:oMathPara>
              <m:oMath>
                <m:r>
                  <m:rPr/>
                  <w:rPr>
                    <w:rFonts w:ascii="Cambria Math" w:hAnsi="Cambria Math" w:eastAsia="Cambria Math" w:cs="Cambria Math"/>
                    <w:szCs w:val="21"/>
                  </w:rPr>
                  <m:t>W</m:t>
                </m:r>
                <m:r>
                  <m:rPr>
                    <m:sty m:val="p"/>
                  </m:rPr>
                  <w:rPr>
                    <w:rFonts w:ascii="Cambria Math" w:hAnsi="Cambria Math" w:eastAsia="Cambria Math" w:cs="Cambria Math"/>
                    <w:szCs w:val="21"/>
                  </w:rPr>
                  <m:t>=</m:t>
                </m:r>
                <m:r>
                  <m:rPr/>
                  <w:rPr>
                    <w:rFonts w:ascii="Cambria Math" w:hAnsi="Cambria Math" w:eastAsia="Cambria Math" w:cstheme="minorEastAsia"/>
                    <w:szCs w:val="21"/>
                  </w:rPr>
                  <m:t>1</m:t>
                </m:r>
                <m:r>
                  <m:rPr/>
                  <w:rPr>
                    <w:rFonts w:ascii="Cambria Math" w:hAnsi="Cambria Math" w:eastAsiaTheme="minorEastAsia" w:cstheme="minorEastAsia"/>
                    <w:szCs w:val="21"/>
                  </w:rPr>
                  <m:t>0</m:t>
                </m:r>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r>
                  <m:rPr/>
                  <w:rPr>
                    <w:rFonts w:ascii="Cambria Math" w:hAnsi="Cambria Math" w:eastAsiaTheme="minorEastAsia" w:cstheme="minorEastAsia"/>
                    <w:szCs w:val="21"/>
                  </w:rPr>
                  <m:t>hF</m:t>
                </m:r>
              </m:oMath>
            </m:oMathPara>
          </w:p>
          <w:p w14:paraId="338E865D">
            <w:pPr>
              <w:pStyle w:val="35"/>
              <w:tabs>
                <w:tab w:val="left" w:pos="0"/>
              </w:tabs>
              <w:rPr>
                <w:rFonts w:eastAsiaTheme="minorEastAsia" w:cstheme="minorEastAsia"/>
                <w:bCs/>
                <w:i/>
                <w:szCs w:val="21"/>
              </w:rPr>
            </w:pPr>
            <m:oMathPara>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r>
                  <m:rPr>
                    <m:sty m:val="p"/>
                  </m:rPr>
                  <w:rPr>
                    <w:rFonts w:ascii="Cambria Math" w:hAnsi="Cambria Math" w:eastAsia="Cambria Math" w:cs="Cambria Math"/>
                    <w:szCs w:val="21"/>
                  </w:rPr>
                  <m:t>=</m:t>
                </m:r>
                <m:f>
                  <m:fPr>
                    <m:ctrlPr>
                      <w:rPr>
                        <w:rFonts w:ascii="Cambria Math" w:hAnsi="Cambria Math" w:eastAsia="Cambria Math" w:cs="Cambria Math"/>
                        <w:szCs w:val="21"/>
                      </w:rPr>
                    </m:ctrlPr>
                  </m:fPr>
                  <m:num>
                    <m:r>
                      <m:rPr/>
                      <w:rPr>
                        <w:rFonts w:ascii="Cambria Math" w:hAnsi="Cambria Math" w:eastAsia="Cambria Math" w:cs="Cambria Math"/>
                        <w:szCs w:val="21"/>
                      </w:rPr>
                      <m:t>Σ</m:t>
                    </m:r>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ctrlPr>
                      <w:rPr>
                        <w:rFonts w:ascii="Cambria Math" w:hAnsi="Cambria Math" w:eastAsia="Cambria Math" w:cs="Cambria Math"/>
                        <w:szCs w:val="21"/>
                      </w:rPr>
                    </m:ctrlPr>
                  </m:num>
                  <m:den>
                    <m:r>
                      <m:rPr/>
                      <w:rPr>
                        <w:rFonts w:ascii="Cambria Math" w:hAnsi="Cambria Math" w:eastAsia="Cambria Math" w:cs="Cambria Math"/>
                        <w:szCs w:val="21"/>
                      </w:rPr>
                      <m:t>F</m:t>
                    </m:r>
                    <m:ctrlPr>
                      <w:rPr>
                        <w:rFonts w:ascii="Cambria Math" w:hAnsi="Cambria Math" w:eastAsia="Cambria Math" w:cs="Cambria Math"/>
                        <w:szCs w:val="21"/>
                      </w:rPr>
                    </m:ctrlPr>
                  </m:den>
                </m:f>
              </m:oMath>
            </m:oMathPara>
          </w:p>
          <w:p w14:paraId="7DC57C91">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W</m:t>
              </m:r>
            </m:oMath>
            <w:r>
              <w:rPr>
                <w:rFonts w:hint="eastAsia" w:cstheme="minorEastAsia"/>
                <w:bCs/>
                <w:szCs w:val="21"/>
              </w:rPr>
              <w:t>——年径流总量控制率对应的设计调蓄量（m</w:t>
            </w:r>
            <w:r>
              <w:rPr>
                <w:rFonts w:cstheme="minorEastAsia"/>
                <w:bCs/>
                <w:szCs w:val="21"/>
                <w:vertAlign w:val="superscript"/>
              </w:rPr>
              <w:t>3</w:t>
            </w:r>
            <w:r>
              <w:rPr>
                <w:rFonts w:hint="eastAsia" w:cstheme="minorEastAsia"/>
                <w:bCs/>
                <w:szCs w:val="21"/>
              </w:rPr>
              <w:t>）；</w:t>
            </w:r>
          </w:p>
          <w:p w14:paraId="1C48BE44">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oMath>
            <w:r>
              <w:rPr>
                <w:rFonts w:hint="eastAsia" w:cstheme="minorEastAsia"/>
                <w:bCs/>
                <w:szCs w:val="21"/>
              </w:rPr>
              <w:t>——综合径流系数；</w:t>
            </w:r>
          </w:p>
          <w:p w14:paraId="2DB7E649">
            <w:pPr>
              <w:pStyle w:val="35"/>
              <w:tabs>
                <w:tab w:val="left" w:pos="0"/>
              </w:tabs>
              <w:ind w:left="630" w:leftChars="300"/>
              <w:rPr>
                <w:rFonts w:cstheme="minorEastAsia"/>
                <w:bCs/>
                <w:szCs w:val="21"/>
              </w:rPr>
            </w:pPr>
            <w:r>
              <w:rPr>
                <w:rFonts w:cstheme="minorEastAsia"/>
                <w:bCs/>
                <w:i/>
                <w:iCs/>
                <w:szCs w:val="21"/>
              </w:rPr>
              <w:t>h</w:t>
            </w:r>
            <w:r>
              <w:rPr>
                <w:rFonts w:hint="eastAsia" w:cstheme="minorEastAsia"/>
                <w:bCs/>
                <w:szCs w:val="21"/>
              </w:rPr>
              <w:t>——设计降雨量，可按照表4.0.5根据年径流总量控制率要求选取</w:t>
            </w:r>
            <w:r>
              <w:rPr>
                <w:rFonts w:hint="eastAsia" w:cstheme="minorEastAsia"/>
                <w:bCs/>
                <w:szCs w:val="21"/>
                <w:lang w:eastAsia="zh-CN"/>
              </w:rPr>
              <w:t>（</w:t>
            </w:r>
            <w:r>
              <w:rPr>
                <w:rFonts w:hint="eastAsia" w:cstheme="minorEastAsia"/>
                <w:bCs/>
                <w:szCs w:val="21"/>
              </w:rPr>
              <w:t>mm</w:t>
            </w:r>
            <w:r>
              <w:rPr>
                <w:rFonts w:hint="eastAsia" w:cstheme="minorEastAsia"/>
                <w:bCs/>
                <w:szCs w:val="21"/>
                <w:lang w:eastAsia="zh-CN"/>
              </w:rPr>
              <w:t>）</w:t>
            </w:r>
            <w:r>
              <w:rPr>
                <w:rFonts w:hint="eastAsia" w:cstheme="minorEastAsia"/>
                <w:bCs/>
                <w:szCs w:val="21"/>
              </w:rPr>
              <w:t>；</w:t>
            </w:r>
          </w:p>
          <w:p w14:paraId="030A3F1D">
            <w:pPr>
              <w:pStyle w:val="35"/>
              <w:tabs>
                <w:tab w:val="left" w:pos="0"/>
              </w:tabs>
              <w:ind w:left="630" w:leftChars="300"/>
              <w:rPr>
                <w:rFonts w:cstheme="minorEastAsia"/>
                <w:bCs/>
                <w:szCs w:val="21"/>
              </w:rPr>
            </w:pPr>
            <m:oMath>
              <m:r>
                <m:rPr/>
                <w:rPr>
                  <w:rFonts w:ascii="Cambria Math" w:hAnsi="Cambria Math" w:cs="宋体"/>
                  <w:szCs w:val="21"/>
                </w:rPr>
                <m:t>F</m:t>
              </m:r>
            </m:oMath>
            <w:r>
              <w:rPr>
                <w:rFonts w:hint="eastAsia" w:cstheme="minorEastAsia"/>
                <w:bCs/>
                <w:szCs w:val="21"/>
              </w:rPr>
              <w:t>——</w:t>
            </w:r>
            <w:r>
              <w:rPr>
                <w:rFonts w:hint="eastAsia"/>
              </w:rPr>
              <w:t>汇水面积（hm</w:t>
            </w:r>
            <w:r>
              <w:rPr>
                <w:vertAlign w:val="superscript"/>
              </w:rPr>
              <w:t>2</w:t>
            </w:r>
            <w:r>
              <w:rPr>
                <w:rFonts w:hint="eastAsia"/>
              </w:rPr>
              <w:t>）</w:t>
            </w:r>
            <w:r>
              <w:rPr>
                <w:rFonts w:hint="eastAsia" w:cstheme="minorEastAsia"/>
                <w:bCs/>
                <w:szCs w:val="21"/>
              </w:rPr>
              <w:t>；</w:t>
            </w:r>
          </w:p>
          <w:p w14:paraId="3B23DEAD">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oMath>
            <w:r>
              <w:rPr>
                <w:rFonts w:hint="eastAsia"/>
              </w:rPr>
              <w:t>——汇水区内第i类下垫面的面积（hm</w:t>
            </w:r>
            <w:r>
              <w:rPr>
                <w:rFonts w:hint="eastAsia"/>
                <w:vertAlign w:val="superscript"/>
              </w:rPr>
              <w:t>2</w:t>
            </w:r>
            <w:r>
              <w:rPr>
                <w:rFonts w:hint="eastAsia"/>
              </w:rPr>
              <w:t>）</w:t>
            </w:r>
            <w:r>
              <w:rPr>
                <w:rFonts w:hint="eastAsia" w:cstheme="minorEastAsia"/>
                <w:bCs/>
                <w:szCs w:val="21"/>
              </w:rPr>
              <w:t>；</w:t>
            </w:r>
          </w:p>
          <w:p w14:paraId="6A2273F4">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oMath>
            <w:r>
              <w:rPr>
                <w:rFonts w:hint="eastAsia" w:cstheme="minorEastAsia"/>
                <w:szCs w:val="21"/>
              </w:rPr>
              <w:t>——第i类下垫面的</w:t>
            </w:r>
            <w:r>
              <w:rPr>
                <w:rFonts w:hint="eastAsia" w:cstheme="minorEastAsia"/>
                <w:bCs/>
                <w:szCs w:val="21"/>
              </w:rPr>
              <w:t>径流系数，宜按表6.2.2取值。</w:t>
            </w:r>
          </w:p>
          <w:p w14:paraId="46C75811">
            <w:pPr>
              <w:pStyle w:val="35"/>
              <w:tabs>
                <w:tab w:val="left" w:pos="0"/>
              </w:tabs>
              <w:jc w:val="center"/>
              <w:rPr>
                <w:b/>
                <w:bCs/>
                <w:szCs w:val="21"/>
              </w:rPr>
            </w:pPr>
            <w:r>
              <w:rPr>
                <w:rFonts w:hint="eastAsia"/>
                <w:b/>
                <w:bCs/>
                <w:szCs w:val="21"/>
              </w:rPr>
              <w:t>表</w:t>
            </w:r>
            <w:r>
              <w:rPr>
                <w:b/>
                <w:bCs/>
                <w:szCs w:val="21"/>
              </w:rPr>
              <w:t>6.2.2</w:t>
            </w:r>
            <w:r>
              <w:rPr>
                <w:rFonts w:hint="eastAsia"/>
                <w:b/>
                <w:bCs/>
                <w:szCs w:val="21"/>
              </w:rPr>
              <w:t>径流系数</w:t>
            </w:r>
          </w:p>
          <w:tbl>
            <w:tblPr>
              <w:tblStyle w:val="24"/>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8"/>
              <w:gridCol w:w="4366"/>
              <w:gridCol w:w="1406"/>
            </w:tblGrid>
            <w:tr w14:paraId="059FA3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48" w:type="pct"/>
                  <w:gridSpan w:val="2"/>
                  <w:vAlign w:val="center"/>
                </w:tcPr>
                <w:p w14:paraId="688A6AC0">
                  <w:pPr>
                    <w:tabs>
                      <w:tab w:val="left" w:pos="0"/>
                    </w:tabs>
                    <w:spacing w:line="240" w:lineRule="auto"/>
                    <w:ind w:firstLine="0" w:firstLineChars="0"/>
                    <w:jc w:val="center"/>
                    <w:rPr>
                      <w:rFonts w:cstheme="minorEastAsia"/>
                      <w:bCs/>
                      <w:szCs w:val="21"/>
                    </w:rPr>
                  </w:pPr>
                  <w:r>
                    <w:rPr>
                      <w:rFonts w:hint="eastAsia" w:cstheme="minorEastAsia"/>
                      <w:bCs/>
                      <w:szCs w:val="21"/>
                    </w:rPr>
                    <w:t>下垫面种类</w:t>
                  </w:r>
                </w:p>
              </w:tc>
              <w:tc>
                <w:tcPr>
                  <w:tcW w:w="1052" w:type="pct"/>
                  <w:vAlign w:val="center"/>
                </w:tcPr>
                <w:p w14:paraId="212E3B24">
                  <w:pPr>
                    <w:tabs>
                      <w:tab w:val="left" w:pos="0"/>
                    </w:tabs>
                    <w:spacing w:line="240" w:lineRule="auto"/>
                    <w:ind w:firstLine="0" w:firstLineChars="0"/>
                    <w:jc w:val="center"/>
                    <w:rPr>
                      <w:rFonts w:cstheme="minorEastAsia"/>
                      <w:bCs/>
                      <w:szCs w:val="21"/>
                    </w:rPr>
                  </w:pPr>
                  <w:r>
                    <w:rPr>
                      <w:rFonts w:hint="eastAsia" w:cstheme="minorEastAsia"/>
                      <w:bCs/>
                      <w:szCs w:val="21"/>
                    </w:rPr>
                    <w:t>径流系数</w:t>
                  </w:r>
                </w:p>
              </w:tc>
            </w:tr>
            <w:tr w14:paraId="119510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vAlign w:val="center"/>
                </w:tcPr>
                <w:p w14:paraId="584D7426">
                  <w:pPr>
                    <w:tabs>
                      <w:tab w:val="left" w:pos="0"/>
                    </w:tabs>
                    <w:spacing w:line="240" w:lineRule="auto"/>
                    <w:ind w:firstLine="0" w:firstLineChars="0"/>
                    <w:jc w:val="center"/>
                    <w:rPr>
                      <w:rFonts w:cstheme="minorEastAsia"/>
                      <w:bCs/>
                      <w:szCs w:val="21"/>
                    </w:rPr>
                  </w:pPr>
                  <w:r>
                    <w:rPr>
                      <w:rFonts w:hint="eastAsia" w:cstheme="minorEastAsia"/>
                      <w:bCs/>
                      <w:szCs w:val="21"/>
                    </w:rPr>
                    <w:t>屋面</w:t>
                  </w:r>
                </w:p>
              </w:tc>
              <w:tc>
                <w:tcPr>
                  <w:tcW w:w="3268" w:type="pct"/>
                  <w:vAlign w:val="center"/>
                </w:tcPr>
                <w:p w14:paraId="2E6DB0B2">
                  <w:pPr>
                    <w:tabs>
                      <w:tab w:val="left" w:pos="0"/>
                    </w:tabs>
                    <w:spacing w:line="240" w:lineRule="auto"/>
                    <w:ind w:firstLine="0" w:firstLineChars="0"/>
                    <w:jc w:val="center"/>
                    <w:rPr>
                      <w:rFonts w:cstheme="minorEastAsia"/>
                      <w:bCs/>
                      <w:szCs w:val="21"/>
                    </w:rPr>
                  </w:pPr>
                  <w:r>
                    <w:rPr>
                      <w:rFonts w:hint="eastAsia" w:cstheme="minorEastAsia"/>
                      <w:bCs/>
                      <w:szCs w:val="21"/>
                    </w:rPr>
                    <w:t>绿化屋面(基质层厚度≥300mm)</w:t>
                  </w:r>
                </w:p>
              </w:tc>
              <w:tc>
                <w:tcPr>
                  <w:tcW w:w="1052" w:type="pct"/>
                  <w:vAlign w:val="center"/>
                </w:tcPr>
                <w:p w14:paraId="41205CCE">
                  <w:pPr>
                    <w:tabs>
                      <w:tab w:val="left" w:pos="0"/>
                    </w:tabs>
                    <w:spacing w:line="240" w:lineRule="auto"/>
                    <w:ind w:firstLine="0" w:firstLineChars="0"/>
                    <w:jc w:val="center"/>
                    <w:rPr>
                      <w:rFonts w:cstheme="minorEastAsia"/>
                      <w:bCs/>
                      <w:szCs w:val="21"/>
                    </w:rPr>
                  </w:pPr>
                  <w:r>
                    <w:rPr>
                      <w:rFonts w:cstheme="minorEastAsia"/>
                      <w:bCs/>
                      <w:szCs w:val="21"/>
                    </w:rPr>
                    <w:t>0.30~0.40</w:t>
                  </w:r>
                </w:p>
              </w:tc>
            </w:tr>
            <w:tr w14:paraId="4B1AC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1EB5F4AA">
                  <w:pPr>
                    <w:tabs>
                      <w:tab w:val="left" w:pos="0"/>
                    </w:tabs>
                    <w:spacing w:line="240" w:lineRule="auto"/>
                    <w:ind w:firstLine="0" w:firstLineChars="0"/>
                    <w:jc w:val="center"/>
                    <w:rPr>
                      <w:rFonts w:cstheme="minorEastAsia"/>
                      <w:bCs/>
                      <w:szCs w:val="21"/>
                    </w:rPr>
                  </w:pPr>
                </w:p>
              </w:tc>
              <w:tc>
                <w:tcPr>
                  <w:tcW w:w="3268" w:type="pct"/>
                  <w:vAlign w:val="center"/>
                </w:tcPr>
                <w:p w14:paraId="4577DE92">
                  <w:pPr>
                    <w:tabs>
                      <w:tab w:val="left" w:pos="0"/>
                    </w:tabs>
                    <w:spacing w:line="240" w:lineRule="auto"/>
                    <w:ind w:firstLine="0" w:firstLineChars="0"/>
                    <w:jc w:val="center"/>
                    <w:rPr>
                      <w:rFonts w:cstheme="minorEastAsia"/>
                      <w:bCs/>
                      <w:szCs w:val="21"/>
                    </w:rPr>
                  </w:pPr>
                  <w:r>
                    <w:rPr>
                      <w:rFonts w:hint="eastAsia" w:cstheme="minorEastAsia"/>
                      <w:bCs/>
                      <w:szCs w:val="21"/>
                    </w:rPr>
                    <w:t>绿化屋面(100mm≤基质层厚度≤300mm)</w:t>
                  </w:r>
                </w:p>
              </w:tc>
              <w:tc>
                <w:tcPr>
                  <w:tcW w:w="1052" w:type="pct"/>
                  <w:vAlign w:val="center"/>
                </w:tcPr>
                <w:p w14:paraId="22A26573">
                  <w:pPr>
                    <w:tabs>
                      <w:tab w:val="left" w:pos="0"/>
                    </w:tabs>
                    <w:spacing w:line="240" w:lineRule="auto"/>
                    <w:ind w:firstLine="0" w:firstLineChars="0"/>
                    <w:jc w:val="center"/>
                    <w:rPr>
                      <w:rFonts w:cstheme="minorEastAsia"/>
                      <w:bCs/>
                      <w:szCs w:val="21"/>
                    </w:rPr>
                  </w:pPr>
                  <w:r>
                    <w:rPr>
                      <w:rFonts w:cstheme="minorEastAsia"/>
                      <w:bCs/>
                      <w:szCs w:val="21"/>
                    </w:rPr>
                    <w:t>0.50</w:t>
                  </w:r>
                </w:p>
              </w:tc>
            </w:tr>
            <w:tr w14:paraId="6720D2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680" w:type="pct"/>
                  <w:vMerge w:val="continue"/>
                  <w:vAlign w:val="center"/>
                </w:tcPr>
                <w:p w14:paraId="5C7EF5DD">
                  <w:pPr>
                    <w:tabs>
                      <w:tab w:val="left" w:pos="0"/>
                    </w:tabs>
                    <w:spacing w:line="240" w:lineRule="auto"/>
                    <w:ind w:firstLine="0" w:firstLineChars="0"/>
                    <w:jc w:val="center"/>
                    <w:rPr>
                      <w:rFonts w:cstheme="minorEastAsia"/>
                      <w:bCs/>
                      <w:szCs w:val="21"/>
                    </w:rPr>
                  </w:pPr>
                </w:p>
              </w:tc>
              <w:tc>
                <w:tcPr>
                  <w:tcW w:w="3268" w:type="pct"/>
                  <w:vAlign w:val="center"/>
                </w:tcPr>
                <w:p w14:paraId="0DAB045E">
                  <w:pPr>
                    <w:tabs>
                      <w:tab w:val="left" w:pos="0"/>
                    </w:tabs>
                    <w:spacing w:line="240" w:lineRule="auto"/>
                    <w:ind w:firstLine="0" w:firstLineChars="0"/>
                    <w:jc w:val="center"/>
                    <w:rPr>
                      <w:rFonts w:cstheme="minorEastAsia"/>
                      <w:bCs/>
                      <w:szCs w:val="21"/>
                    </w:rPr>
                  </w:pPr>
                  <w:r>
                    <w:rPr>
                      <w:rFonts w:hint="eastAsia" w:cstheme="minorEastAsia"/>
                      <w:bCs/>
                      <w:szCs w:val="21"/>
                    </w:rPr>
                    <w:t>硬屋面</w:t>
                  </w:r>
                </w:p>
              </w:tc>
              <w:tc>
                <w:tcPr>
                  <w:tcW w:w="1052" w:type="pct"/>
                  <w:vAlign w:val="center"/>
                </w:tcPr>
                <w:p w14:paraId="74D33EE5">
                  <w:pPr>
                    <w:tabs>
                      <w:tab w:val="left" w:pos="0"/>
                    </w:tabs>
                    <w:spacing w:line="240" w:lineRule="auto"/>
                    <w:ind w:firstLine="0" w:firstLineChars="0"/>
                    <w:jc w:val="center"/>
                    <w:rPr>
                      <w:rFonts w:cstheme="minorEastAsia"/>
                      <w:bCs/>
                      <w:szCs w:val="21"/>
                    </w:rPr>
                  </w:pPr>
                  <w:r>
                    <w:rPr>
                      <w:rFonts w:cstheme="minorEastAsia"/>
                      <w:bCs/>
                      <w:szCs w:val="21"/>
                    </w:rPr>
                    <w:t>0.80~0.95</w:t>
                  </w:r>
                </w:p>
              </w:tc>
            </w:tr>
            <w:tr w14:paraId="7B0A03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vAlign w:val="center"/>
                </w:tcPr>
                <w:p w14:paraId="713C17B6">
                  <w:pPr>
                    <w:tabs>
                      <w:tab w:val="left" w:pos="0"/>
                    </w:tabs>
                    <w:spacing w:line="240" w:lineRule="auto"/>
                    <w:ind w:firstLine="0" w:firstLineChars="0"/>
                    <w:jc w:val="center"/>
                    <w:rPr>
                      <w:rFonts w:cstheme="minorEastAsia"/>
                      <w:bCs/>
                      <w:szCs w:val="21"/>
                    </w:rPr>
                  </w:pPr>
                  <w:r>
                    <w:rPr>
                      <w:rFonts w:hint="eastAsia" w:cstheme="minorEastAsia"/>
                      <w:bCs/>
                      <w:szCs w:val="21"/>
                    </w:rPr>
                    <w:t>道路</w:t>
                  </w:r>
                </w:p>
              </w:tc>
              <w:tc>
                <w:tcPr>
                  <w:tcW w:w="3268" w:type="pct"/>
                  <w:vAlign w:val="center"/>
                </w:tcPr>
                <w:p w14:paraId="2966A30B">
                  <w:pPr>
                    <w:tabs>
                      <w:tab w:val="left" w:pos="0"/>
                    </w:tabs>
                    <w:spacing w:line="240" w:lineRule="auto"/>
                    <w:ind w:firstLine="0" w:firstLineChars="0"/>
                    <w:jc w:val="center"/>
                    <w:rPr>
                      <w:rFonts w:cstheme="minorEastAsia"/>
                      <w:bCs/>
                      <w:szCs w:val="21"/>
                    </w:rPr>
                  </w:pPr>
                  <w:r>
                    <w:rPr>
                      <w:rFonts w:hint="eastAsia" w:cstheme="minorEastAsia"/>
                      <w:bCs/>
                      <w:szCs w:val="21"/>
                    </w:rPr>
                    <w:t>混凝土或沥青路面</w:t>
                  </w:r>
                </w:p>
              </w:tc>
              <w:tc>
                <w:tcPr>
                  <w:tcW w:w="1052" w:type="pct"/>
                  <w:vAlign w:val="center"/>
                </w:tcPr>
                <w:p w14:paraId="6189B5A2">
                  <w:pPr>
                    <w:tabs>
                      <w:tab w:val="left" w:pos="0"/>
                    </w:tabs>
                    <w:spacing w:line="240" w:lineRule="auto"/>
                    <w:ind w:firstLine="0" w:firstLineChars="0"/>
                    <w:jc w:val="center"/>
                    <w:rPr>
                      <w:rFonts w:cstheme="minorEastAsia"/>
                      <w:bCs/>
                      <w:szCs w:val="21"/>
                    </w:rPr>
                  </w:pPr>
                  <w:r>
                    <w:rPr>
                      <w:rFonts w:cstheme="minorEastAsia"/>
                      <w:bCs/>
                      <w:szCs w:val="21"/>
                    </w:rPr>
                    <w:t>0.80~0.95</w:t>
                  </w:r>
                </w:p>
              </w:tc>
            </w:tr>
            <w:tr w14:paraId="4F759C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4A347AA5">
                  <w:pPr>
                    <w:tabs>
                      <w:tab w:val="left" w:pos="0"/>
                    </w:tabs>
                    <w:spacing w:line="240" w:lineRule="auto"/>
                    <w:ind w:firstLine="0" w:firstLineChars="0"/>
                    <w:jc w:val="center"/>
                    <w:rPr>
                      <w:rFonts w:cstheme="minorEastAsia"/>
                      <w:bCs/>
                      <w:szCs w:val="21"/>
                    </w:rPr>
                  </w:pPr>
                </w:p>
              </w:tc>
              <w:tc>
                <w:tcPr>
                  <w:tcW w:w="3268" w:type="pct"/>
                  <w:vAlign w:val="center"/>
                </w:tcPr>
                <w:p w14:paraId="5A51FA9C">
                  <w:pPr>
                    <w:tabs>
                      <w:tab w:val="left" w:pos="0"/>
                    </w:tabs>
                    <w:spacing w:line="240" w:lineRule="auto"/>
                    <w:ind w:firstLine="0" w:firstLineChars="0"/>
                    <w:jc w:val="center"/>
                    <w:rPr>
                      <w:rFonts w:cstheme="minorEastAsia"/>
                      <w:bCs/>
                      <w:szCs w:val="21"/>
                    </w:rPr>
                  </w:pPr>
                  <w:r>
                    <w:rPr>
                      <w:rFonts w:hint="eastAsia" w:cstheme="minorEastAsia"/>
                      <w:bCs/>
                      <w:szCs w:val="21"/>
                    </w:rPr>
                    <w:t>石砌路面</w:t>
                  </w:r>
                </w:p>
              </w:tc>
              <w:tc>
                <w:tcPr>
                  <w:tcW w:w="1052" w:type="pct"/>
                  <w:vAlign w:val="center"/>
                </w:tcPr>
                <w:p w14:paraId="16081761">
                  <w:pPr>
                    <w:tabs>
                      <w:tab w:val="left" w:pos="0"/>
                    </w:tabs>
                    <w:spacing w:line="240" w:lineRule="auto"/>
                    <w:ind w:firstLine="0" w:firstLineChars="0"/>
                    <w:jc w:val="center"/>
                    <w:rPr>
                      <w:rFonts w:cstheme="minorEastAsia"/>
                      <w:bCs/>
                      <w:szCs w:val="21"/>
                    </w:rPr>
                  </w:pPr>
                  <w:r>
                    <w:rPr>
                      <w:rFonts w:cstheme="minorEastAsia"/>
                      <w:bCs/>
                      <w:szCs w:val="21"/>
                    </w:rPr>
                    <w:t>0.50~0.65</w:t>
                  </w:r>
                </w:p>
              </w:tc>
            </w:tr>
            <w:tr w14:paraId="71F883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6E0210DF">
                  <w:pPr>
                    <w:tabs>
                      <w:tab w:val="left" w:pos="0"/>
                    </w:tabs>
                    <w:spacing w:line="240" w:lineRule="auto"/>
                    <w:ind w:firstLine="0" w:firstLineChars="0"/>
                    <w:jc w:val="center"/>
                    <w:rPr>
                      <w:rFonts w:cstheme="minorEastAsia"/>
                      <w:bCs/>
                      <w:szCs w:val="21"/>
                    </w:rPr>
                  </w:pPr>
                </w:p>
              </w:tc>
              <w:tc>
                <w:tcPr>
                  <w:tcW w:w="3268" w:type="pct"/>
                  <w:vAlign w:val="center"/>
                </w:tcPr>
                <w:p w14:paraId="604E3F8F">
                  <w:pPr>
                    <w:tabs>
                      <w:tab w:val="left" w:pos="0"/>
                    </w:tabs>
                    <w:spacing w:line="240" w:lineRule="auto"/>
                    <w:ind w:firstLine="0" w:firstLineChars="0"/>
                    <w:jc w:val="center"/>
                    <w:rPr>
                      <w:rFonts w:cstheme="minorEastAsia"/>
                      <w:bCs/>
                      <w:szCs w:val="21"/>
                    </w:rPr>
                  </w:pPr>
                  <w:r>
                    <w:rPr>
                      <w:rFonts w:hint="eastAsia" w:cstheme="minorEastAsia"/>
                      <w:bCs/>
                      <w:szCs w:val="21"/>
                    </w:rPr>
                    <w:t>干砌砖石或碎石路面</w:t>
                  </w:r>
                </w:p>
              </w:tc>
              <w:tc>
                <w:tcPr>
                  <w:tcW w:w="1052" w:type="pct"/>
                  <w:vAlign w:val="center"/>
                </w:tcPr>
                <w:p w14:paraId="34E9373A">
                  <w:pPr>
                    <w:tabs>
                      <w:tab w:val="left" w:pos="0"/>
                    </w:tabs>
                    <w:spacing w:line="240" w:lineRule="auto"/>
                    <w:ind w:firstLine="0" w:firstLineChars="0"/>
                    <w:jc w:val="center"/>
                    <w:rPr>
                      <w:rFonts w:cstheme="minorEastAsia"/>
                      <w:bCs/>
                      <w:szCs w:val="21"/>
                    </w:rPr>
                  </w:pPr>
                  <w:r>
                    <w:rPr>
                      <w:rFonts w:cstheme="minorEastAsia"/>
                      <w:bCs/>
                      <w:szCs w:val="21"/>
                    </w:rPr>
                    <w:t>0.35~0.40</w:t>
                  </w:r>
                </w:p>
              </w:tc>
            </w:tr>
            <w:tr w14:paraId="5486B6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680" w:type="pct"/>
                  <w:vMerge w:val="continue"/>
                  <w:vAlign w:val="center"/>
                </w:tcPr>
                <w:p w14:paraId="65DCF153">
                  <w:pPr>
                    <w:tabs>
                      <w:tab w:val="left" w:pos="0"/>
                    </w:tabs>
                    <w:spacing w:line="240" w:lineRule="auto"/>
                    <w:ind w:firstLine="0" w:firstLineChars="0"/>
                    <w:jc w:val="center"/>
                    <w:rPr>
                      <w:rFonts w:cstheme="minorEastAsia"/>
                      <w:bCs/>
                      <w:szCs w:val="21"/>
                    </w:rPr>
                  </w:pPr>
                </w:p>
              </w:tc>
              <w:tc>
                <w:tcPr>
                  <w:tcW w:w="3268" w:type="pct"/>
                  <w:vAlign w:val="center"/>
                </w:tcPr>
                <w:p w14:paraId="6822E347">
                  <w:pPr>
                    <w:tabs>
                      <w:tab w:val="left" w:pos="0"/>
                    </w:tabs>
                    <w:spacing w:line="240" w:lineRule="auto"/>
                    <w:ind w:firstLine="0" w:firstLineChars="0"/>
                    <w:jc w:val="center"/>
                    <w:rPr>
                      <w:rFonts w:cstheme="minorEastAsia"/>
                      <w:bCs/>
                      <w:szCs w:val="21"/>
                    </w:rPr>
                  </w:pPr>
                  <w:r>
                    <w:rPr>
                      <w:rFonts w:hint="eastAsia" w:cstheme="minorEastAsia"/>
                      <w:bCs/>
                      <w:szCs w:val="21"/>
                    </w:rPr>
                    <w:t>透水路面</w:t>
                  </w:r>
                </w:p>
              </w:tc>
              <w:tc>
                <w:tcPr>
                  <w:tcW w:w="1052" w:type="pct"/>
                  <w:vAlign w:val="center"/>
                </w:tcPr>
                <w:p w14:paraId="1D760ABD">
                  <w:pPr>
                    <w:tabs>
                      <w:tab w:val="left" w:pos="0"/>
                    </w:tabs>
                    <w:spacing w:line="240" w:lineRule="auto"/>
                    <w:ind w:firstLine="0" w:firstLineChars="0"/>
                    <w:jc w:val="center"/>
                    <w:rPr>
                      <w:rFonts w:cstheme="minorEastAsia"/>
                      <w:bCs/>
                      <w:szCs w:val="21"/>
                    </w:rPr>
                  </w:pPr>
                  <w:r>
                    <w:rPr>
                      <w:rFonts w:cstheme="minorEastAsia"/>
                      <w:bCs/>
                      <w:szCs w:val="21"/>
                    </w:rPr>
                    <w:t>0.30~0.45</w:t>
                  </w:r>
                </w:p>
              </w:tc>
            </w:tr>
            <w:tr w14:paraId="192980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4F0F3FD0">
                  <w:pPr>
                    <w:tabs>
                      <w:tab w:val="left" w:pos="0"/>
                    </w:tabs>
                    <w:spacing w:line="240" w:lineRule="auto"/>
                    <w:ind w:firstLine="0" w:firstLineChars="0"/>
                    <w:jc w:val="center"/>
                    <w:rPr>
                      <w:rFonts w:cstheme="minorEastAsia"/>
                      <w:bCs/>
                      <w:szCs w:val="21"/>
                    </w:rPr>
                  </w:pPr>
                </w:p>
              </w:tc>
              <w:tc>
                <w:tcPr>
                  <w:tcW w:w="3268" w:type="pct"/>
                  <w:vAlign w:val="center"/>
                </w:tcPr>
                <w:p w14:paraId="170FFE95">
                  <w:pPr>
                    <w:tabs>
                      <w:tab w:val="left" w:pos="0"/>
                    </w:tabs>
                    <w:spacing w:line="240" w:lineRule="auto"/>
                    <w:ind w:firstLine="0" w:firstLineChars="0"/>
                    <w:jc w:val="center"/>
                    <w:rPr>
                      <w:rFonts w:cstheme="minorEastAsia"/>
                      <w:bCs/>
                      <w:szCs w:val="21"/>
                    </w:rPr>
                  </w:pPr>
                  <w:r>
                    <w:rPr>
                      <w:rFonts w:hint="eastAsia" w:cstheme="minorEastAsia"/>
                      <w:bCs/>
                      <w:szCs w:val="21"/>
                    </w:rPr>
                    <w:t>非铺砌的土路面</w:t>
                  </w:r>
                </w:p>
              </w:tc>
              <w:tc>
                <w:tcPr>
                  <w:tcW w:w="1052" w:type="pct"/>
                  <w:vAlign w:val="center"/>
                </w:tcPr>
                <w:p w14:paraId="5BA662CF">
                  <w:pPr>
                    <w:tabs>
                      <w:tab w:val="left" w:pos="0"/>
                    </w:tabs>
                    <w:spacing w:line="240" w:lineRule="auto"/>
                    <w:ind w:firstLine="0" w:firstLineChars="0"/>
                    <w:jc w:val="center"/>
                    <w:rPr>
                      <w:rFonts w:cstheme="minorEastAsia"/>
                      <w:bCs/>
                      <w:szCs w:val="21"/>
                    </w:rPr>
                  </w:pPr>
                  <w:r>
                    <w:rPr>
                      <w:rFonts w:cstheme="minorEastAsia"/>
                      <w:bCs/>
                      <w:szCs w:val="21"/>
                    </w:rPr>
                    <w:t>0.25~0.30</w:t>
                  </w:r>
                </w:p>
              </w:tc>
            </w:tr>
            <w:tr w14:paraId="7AB598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vAlign w:val="center"/>
                </w:tcPr>
                <w:p w14:paraId="682EF9A1">
                  <w:pPr>
                    <w:tabs>
                      <w:tab w:val="left" w:pos="0"/>
                    </w:tabs>
                    <w:spacing w:line="240" w:lineRule="auto"/>
                    <w:ind w:firstLine="0" w:firstLineChars="0"/>
                    <w:jc w:val="center"/>
                    <w:rPr>
                      <w:rFonts w:cstheme="minorEastAsia"/>
                      <w:bCs/>
                      <w:szCs w:val="21"/>
                    </w:rPr>
                  </w:pPr>
                  <w:r>
                    <w:rPr>
                      <w:rFonts w:hint="eastAsia" w:cstheme="minorEastAsia"/>
                      <w:bCs/>
                      <w:szCs w:val="21"/>
                    </w:rPr>
                    <w:t>绿地</w:t>
                  </w:r>
                </w:p>
              </w:tc>
              <w:tc>
                <w:tcPr>
                  <w:tcW w:w="3268" w:type="pct"/>
                  <w:vAlign w:val="center"/>
                </w:tcPr>
                <w:p w14:paraId="6D2B8102">
                  <w:pPr>
                    <w:tabs>
                      <w:tab w:val="left" w:pos="0"/>
                    </w:tabs>
                    <w:spacing w:line="240" w:lineRule="auto"/>
                    <w:ind w:firstLine="0" w:firstLineChars="0"/>
                    <w:jc w:val="center"/>
                    <w:rPr>
                      <w:rFonts w:cstheme="minorEastAsia"/>
                      <w:bCs/>
                      <w:szCs w:val="21"/>
                    </w:rPr>
                  </w:pPr>
                  <w:r>
                    <w:rPr>
                      <w:rFonts w:hint="eastAsia" w:cstheme="minorEastAsia"/>
                      <w:bCs/>
                      <w:szCs w:val="21"/>
                    </w:rPr>
                    <w:t>实土型绿地或覆土≥500mm的绿地</w:t>
                  </w:r>
                </w:p>
              </w:tc>
              <w:tc>
                <w:tcPr>
                  <w:tcW w:w="1052" w:type="pct"/>
                  <w:vAlign w:val="center"/>
                </w:tcPr>
                <w:p w14:paraId="39011CAB">
                  <w:pPr>
                    <w:tabs>
                      <w:tab w:val="left" w:pos="0"/>
                    </w:tabs>
                    <w:spacing w:line="240" w:lineRule="auto"/>
                    <w:ind w:firstLine="0" w:firstLineChars="0"/>
                    <w:jc w:val="center"/>
                    <w:rPr>
                      <w:rFonts w:cstheme="minorEastAsia"/>
                      <w:bCs/>
                      <w:szCs w:val="21"/>
                    </w:rPr>
                  </w:pPr>
                  <w:r>
                    <w:rPr>
                      <w:rFonts w:cstheme="minorEastAsia"/>
                      <w:bCs/>
                      <w:szCs w:val="21"/>
                    </w:rPr>
                    <w:t>0.</w:t>
                  </w:r>
                  <w:r>
                    <w:rPr>
                      <w:rFonts w:hint="eastAsia" w:cstheme="minorEastAsia"/>
                      <w:bCs/>
                      <w:szCs w:val="21"/>
                    </w:rPr>
                    <w:t>10</w:t>
                  </w:r>
                  <w:r>
                    <w:rPr>
                      <w:rFonts w:cstheme="minorEastAsia"/>
                      <w:bCs/>
                      <w:szCs w:val="21"/>
                    </w:rPr>
                    <w:t>~0.</w:t>
                  </w:r>
                  <w:r>
                    <w:rPr>
                      <w:rFonts w:hint="eastAsia" w:cstheme="minorEastAsia"/>
                      <w:bCs/>
                      <w:szCs w:val="21"/>
                    </w:rPr>
                    <w:t>2</w:t>
                  </w:r>
                  <w:r>
                    <w:rPr>
                      <w:rFonts w:cstheme="minorEastAsia"/>
                      <w:bCs/>
                      <w:szCs w:val="21"/>
                    </w:rPr>
                    <w:t>0</w:t>
                  </w:r>
                </w:p>
              </w:tc>
            </w:tr>
            <w:tr w14:paraId="4718CE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vAlign w:val="center"/>
                </w:tcPr>
                <w:p w14:paraId="239BB7D6">
                  <w:pPr>
                    <w:tabs>
                      <w:tab w:val="left" w:pos="0"/>
                    </w:tabs>
                    <w:spacing w:line="240" w:lineRule="auto"/>
                    <w:ind w:firstLine="0" w:firstLineChars="0"/>
                    <w:jc w:val="center"/>
                    <w:rPr>
                      <w:rFonts w:cstheme="minorEastAsia"/>
                      <w:bCs/>
                      <w:szCs w:val="21"/>
                    </w:rPr>
                  </w:pPr>
                </w:p>
              </w:tc>
              <w:tc>
                <w:tcPr>
                  <w:tcW w:w="3268" w:type="pct"/>
                  <w:vAlign w:val="center"/>
                </w:tcPr>
                <w:p w14:paraId="27E85D4B">
                  <w:pPr>
                    <w:tabs>
                      <w:tab w:val="left" w:pos="0"/>
                    </w:tabs>
                    <w:spacing w:line="240" w:lineRule="auto"/>
                    <w:ind w:firstLine="0" w:firstLineChars="0"/>
                    <w:jc w:val="center"/>
                    <w:rPr>
                      <w:rFonts w:cstheme="minorEastAsia"/>
                      <w:bCs/>
                      <w:szCs w:val="21"/>
                    </w:rPr>
                  </w:pPr>
                  <w:r>
                    <w:rPr>
                      <w:rFonts w:hint="eastAsia" w:cstheme="minorEastAsia"/>
                      <w:bCs/>
                      <w:szCs w:val="21"/>
                    </w:rPr>
                    <w:t>地下室覆土绿地(≥300mm，&lt;500mm)</w:t>
                  </w:r>
                </w:p>
              </w:tc>
              <w:tc>
                <w:tcPr>
                  <w:tcW w:w="1052" w:type="pct"/>
                  <w:vAlign w:val="center"/>
                </w:tcPr>
                <w:p w14:paraId="184FC3D7">
                  <w:pPr>
                    <w:tabs>
                      <w:tab w:val="left" w:pos="0"/>
                    </w:tabs>
                    <w:spacing w:line="240" w:lineRule="auto"/>
                    <w:ind w:firstLine="0" w:firstLineChars="0"/>
                    <w:jc w:val="center"/>
                    <w:rPr>
                      <w:rFonts w:cstheme="minorEastAsia"/>
                      <w:bCs/>
                      <w:szCs w:val="21"/>
                    </w:rPr>
                  </w:pPr>
                  <w:r>
                    <w:rPr>
                      <w:rFonts w:cstheme="minorEastAsia"/>
                      <w:bCs/>
                      <w:szCs w:val="21"/>
                    </w:rPr>
                    <w:t>0.</w:t>
                  </w:r>
                  <w:r>
                    <w:rPr>
                      <w:rFonts w:hint="eastAsia" w:cstheme="minorEastAsia"/>
                      <w:bCs/>
                      <w:szCs w:val="21"/>
                    </w:rPr>
                    <w:t>30</w:t>
                  </w:r>
                  <w:r>
                    <w:rPr>
                      <w:rFonts w:cstheme="minorEastAsia"/>
                      <w:bCs/>
                      <w:szCs w:val="21"/>
                    </w:rPr>
                    <w:t>~0.</w:t>
                  </w:r>
                  <w:r>
                    <w:rPr>
                      <w:rFonts w:hint="eastAsia" w:cstheme="minorEastAsia"/>
                      <w:bCs/>
                      <w:szCs w:val="21"/>
                    </w:rPr>
                    <w:t>4</w:t>
                  </w:r>
                  <w:r>
                    <w:rPr>
                      <w:rFonts w:cstheme="minorEastAsia"/>
                      <w:bCs/>
                      <w:szCs w:val="21"/>
                    </w:rPr>
                    <w:t>0</w:t>
                  </w:r>
                </w:p>
              </w:tc>
            </w:tr>
            <w:tr w14:paraId="7795F0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3948" w:type="pct"/>
                  <w:gridSpan w:val="2"/>
                  <w:vAlign w:val="center"/>
                </w:tcPr>
                <w:p w14:paraId="1DB3CB5F">
                  <w:pPr>
                    <w:tabs>
                      <w:tab w:val="left" w:pos="0"/>
                    </w:tabs>
                    <w:spacing w:line="240" w:lineRule="auto"/>
                    <w:ind w:firstLine="0" w:firstLineChars="0"/>
                    <w:jc w:val="center"/>
                    <w:rPr>
                      <w:rFonts w:cstheme="minorEastAsia"/>
                      <w:bCs/>
                      <w:szCs w:val="21"/>
                    </w:rPr>
                  </w:pPr>
                  <w:r>
                    <w:rPr>
                      <w:rFonts w:hint="eastAsia" w:cstheme="minorEastAsia"/>
                      <w:bCs/>
                      <w:szCs w:val="21"/>
                    </w:rPr>
                    <w:t>广场</w:t>
                  </w:r>
                </w:p>
              </w:tc>
              <w:tc>
                <w:tcPr>
                  <w:tcW w:w="1052" w:type="pct"/>
                  <w:vAlign w:val="center"/>
                </w:tcPr>
                <w:p w14:paraId="158DAF97">
                  <w:pPr>
                    <w:tabs>
                      <w:tab w:val="left" w:pos="0"/>
                    </w:tabs>
                    <w:spacing w:line="240" w:lineRule="auto"/>
                    <w:ind w:firstLine="0" w:firstLineChars="0"/>
                    <w:jc w:val="center"/>
                    <w:rPr>
                      <w:rFonts w:cstheme="minorEastAsia"/>
                      <w:bCs/>
                      <w:szCs w:val="21"/>
                    </w:rPr>
                  </w:pPr>
                  <w:r>
                    <w:rPr>
                      <w:rFonts w:cstheme="minorEastAsia"/>
                      <w:bCs/>
                      <w:szCs w:val="21"/>
                    </w:rPr>
                    <w:t>0.50~0.65</w:t>
                  </w:r>
                </w:p>
              </w:tc>
            </w:tr>
            <w:tr w14:paraId="059191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48" w:type="pct"/>
                  <w:gridSpan w:val="2"/>
                  <w:vAlign w:val="center"/>
                </w:tcPr>
                <w:p w14:paraId="4E3A09A5">
                  <w:pPr>
                    <w:tabs>
                      <w:tab w:val="left" w:pos="0"/>
                    </w:tabs>
                    <w:spacing w:line="240" w:lineRule="auto"/>
                    <w:ind w:firstLine="0" w:firstLineChars="0"/>
                    <w:jc w:val="center"/>
                    <w:rPr>
                      <w:rFonts w:cstheme="minorEastAsia"/>
                      <w:bCs/>
                      <w:szCs w:val="21"/>
                    </w:rPr>
                  </w:pPr>
                  <w:r>
                    <w:rPr>
                      <w:rFonts w:hint="eastAsia" w:cstheme="minorEastAsia"/>
                      <w:bCs/>
                      <w:szCs w:val="21"/>
                    </w:rPr>
                    <w:t>水面</w:t>
                  </w:r>
                </w:p>
              </w:tc>
              <w:tc>
                <w:tcPr>
                  <w:tcW w:w="1052" w:type="pct"/>
                  <w:vAlign w:val="center"/>
                </w:tcPr>
                <w:p w14:paraId="2390D03E">
                  <w:pPr>
                    <w:tabs>
                      <w:tab w:val="left" w:pos="0"/>
                    </w:tabs>
                    <w:spacing w:line="240" w:lineRule="auto"/>
                    <w:ind w:firstLine="0" w:firstLineChars="0"/>
                    <w:jc w:val="center"/>
                    <w:rPr>
                      <w:rFonts w:cstheme="minorEastAsia"/>
                      <w:bCs/>
                      <w:szCs w:val="21"/>
                    </w:rPr>
                  </w:pPr>
                  <w:r>
                    <w:rPr>
                      <w:rFonts w:hint="eastAsia" w:cstheme="minorEastAsia"/>
                      <w:bCs/>
                      <w:szCs w:val="21"/>
                    </w:rPr>
                    <w:t>1</w:t>
                  </w:r>
                </w:p>
              </w:tc>
            </w:tr>
          </w:tbl>
          <w:p w14:paraId="3C77425F">
            <w:pPr>
              <w:pStyle w:val="35"/>
              <w:tabs>
                <w:tab w:val="left" w:pos="0"/>
              </w:tabs>
            </w:pPr>
            <w:r>
              <w:rPr>
                <w:rFonts w:hint="eastAsia"/>
                <w:b/>
                <w:bCs/>
                <w:i/>
                <w:iCs/>
              </w:rPr>
              <w:t>审查说明：在进行年径流总量控制率对应的调蓄量计算时，下垫面径流系数取值应采用雨量径流系数，不应采用管道计算常用的流量径流系数或水利计算上使用的径流系数。</w:t>
            </w:r>
          </w:p>
          <w:p w14:paraId="463A0064">
            <w:pPr>
              <w:pStyle w:val="35"/>
              <w:tabs>
                <w:tab w:val="left" w:pos="0"/>
              </w:tabs>
            </w:pPr>
          </w:p>
          <w:p w14:paraId="3A2DD9EA">
            <w:pPr>
              <w:pStyle w:val="35"/>
              <w:tabs>
                <w:tab w:val="left" w:pos="0"/>
              </w:tabs>
            </w:pPr>
            <w:r>
              <w:rPr>
                <w:rFonts w:hint="eastAsia"/>
              </w:rPr>
              <w:t>6.2.3 年径流总量控制率对应的调蓄量应符合下列规定：</w:t>
            </w:r>
          </w:p>
          <w:p w14:paraId="0C0DBAD5">
            <w:pPr>
              <w:pStyle w:val="35"/>
              <w:tabs>
                <w:tab w:val="left" w:pos="0"/>
              </w:tabs>
              <w:ind w:firstLine="420" w:firstLineChars="200"/>
            </w:pPr>
            <w:r>
              <w:rPr>
                <w:rFonts w:hint="eastAsia"/>
              </w:rPr>
              <w:t>1 建设项目的调蓄量应为项目内各源头减排设施的设计调蓄量之和，各设施的调蓄量应与其汇水面积对应。</w:t>
            </w:r>
          </w:p>
          <w:p w14:paraId="05C5222C">
            <w:pPr>
              <w:pStyle w:val="35"/>
              <w:tabs>
                <w:tab w:val="left" w:pos="0"/>
              </w:tabs>
              <w:ind w:firstLine="420" w:firstLineChars="200"/>
            </w:pPr>
            <w:r>
              <w:rPr>
                <w:rFonts w:hint="eastAsia"/>
              </w:rPr>
              <w:t>2 源头减排设施设计调蓄量应为顶部蓄水空间和排水层蓄水空间之和。</w:t>
            </w:r>
          </w:p>
          <w:p w14:paraId="76BCAC93">
            <w:pPr>
              <w:pStyle w:val="35"/>
              <w:tabs>
                <w:tab w:val="left" w:pos="0"/>
              </w:tabs>
              <w:ind w:firstLine="420" w:firstLineChars="200"/>
            </w:pPr>
            <w:r>
              <w:rPr>
                <w:rFonts w:hint="eastAsia"/>
              </w:rPr>
              <w:t>3 绿色屋顶、透水铺装、转输型植草沟、明沟、初期雨水弃流等对径流总量削减贡献较小的设施，其设计调蓄容积不计入总调蓄量。</w:t>
            </w:r>
          </w:p>
          <w:p w14:paraId="3F358541">
            <w:pPr>
              <w:pStyle w:val="35"/>
              <w:tabs>
                <w:tab w:val="left" w:pos="0"/>
              </w:tabs>
              <w:rPr>
                <w:b/>
                <w:bCs/>
                <w:i/>
                <w:iCs/>
              </w:rPr>
            </w:pPr>
            <w:r>
              <w:rPr>
                <w:rFonts w:hint="eastAsia"/>
                <w:b/>
                <w:bCs/>
                <w:i/>
                <w:iCs/>
              </w:rPr>
              <w:t>审查说明：海绵设施规模由其汇水范围内可以有效收集到的水量确定，海绵设施调蓄量应与该设施对应汇水范围在设计降雨量下的汇水量相匹配，受竖向条件、汇水范围等影响，实际调蓄容积小于其设计值的设施（如较大面积的</w:t>
            </w:r>
            <w:r>
              <w:rPr>
                <w:rFonts w:hint="eastAsia"/>
                <w:b/>
                <w:bCs/>
                <w:i/>
                <w:iCs/>
                <w:lang w:val="en-US" w:eastAsia="zh-CN"/>
              </w:rPr>
              <w:t>下凹</w:t>
            </w:r>
            <w:r>
              <w:rPr>
                <w:rFonts w:hint="eastAsia"/>
                <w:b/>
                <w:bCs/>
                <w:i/>
                <w:iCs/>
              </w:rPr>
              <w:t>式绿地，往往受坡度和汇水面竖向条件限制，实际调蓄容积远远小于其设计调蓄容积），按实际调蓄容积计入总调蓄容积；无法有效收集汇水面径流雨水的设施不计入总调蓄容积。</w:t>
            </w:r>
          </w:p>
          <w:p w14:paraId="0345E037">
            <w:pPr>
              <w:pStyle w:val="35"/>
              <w:tabs>
                <w:tab w:val="left" w:pos="0"/>
              </w:tabs>
              <w:ind w:firstLine="422" w:firstLineChars="200"/>
              <w:rPr>
                <w:b/>
                <w:bCs/>
                <w:i/>
                <w:iCs/>
              </w:rPr>
            </w:pPr>
            <w:r>
              <w:rPr>
                <w:rFonts w:hint="eastAsia"/>
                <w:b/>
                <w:bCs/>
                <w:i/>
                <w:iCs/>
              </w:rPr>
              <w:t>下列具有蓄水空间的渗透设施可计入总调蓄容积：雨水花园、生态树池、生物滞留设施、下凹式绿地、渗透塘、湿塘、雨水回用调蓄池、干式植草沟</w:t>
            </w:r>
            <w:r>
              <w:rPr>
                <w:rFonts w:hint="eastAsia"/>
                <w:b/>
                <w:bCs/>
                <w:i/>
                <w:iCs/>
                <w:lang w:val="en-US" w:eastAsia="zh-CN"/>
              </w:rPr>
              <w:t>（</w:t>
            </w:r>
            <w:r>
              <w:rPr>
                <w:rFonts w:hint="eastAsia"/>
                <w:b/>
                <w:bCs/>
                <w:i/>
                <w:iCs/>
              </w:rPr>
              <w:t>不起转输作用时</w:t>
            </w:r>
            <w:r>
              <w:rPr>
                <w:rFonts w:hint="eastAsia"/>
                <w:b/>
                <w:bCs/>
                <w:i/>
                <w:iCs/>
                <w:lang w:val="en-US" w:eastAsia="zh-CN"/>
              </w:rPr>
              <w:t>）</w:t>
            </w:r>
            <w:r>
              <w:rPr>
                <w:rFonts w:hint="eastAsia"/>
                <w:b/>
                <w:bCs/>
                <w:i/>
                <w:iCs/>
              </w:rPr>
              <w:t>、旱溪等。</w:t>
            </w:r>
          </w:p>
          <w:p w14:paraId="2AB74A0A">
            <w:pPr>
              <w:pStyle w:val="35"/>
              <w:tabs>
                <w:tab w:val="left" w:pos="0"/>
              </w:tabs>
              <w:ind w:firstLine="422" w:firstLineChars="200"/>
              <w:rPr>
                <w:b/>
                <w:bCs/>
                <w:i/>
                <w:iCs/>
              </w:rPr>
            </w:pPr>
            <w:r>
              <w:rPr>
                <w:rFonts w:hint="eastAsia"/>
                <w:b/>
                <w:bCs/>
                <w:i/>
                <w:iCs/>
              </w:rPr>
              <w:t>下列设施不应计入总调蓄容积：转输型植草沟、渗管/渠、初期雨水弃流、植被缓冲带、人工土壤渗滤。透水铺装和绿色屋顶仅参与综合雨量径流系数的计算，不计入总调蓄容积。</w:t>
            </w:r>
          </w:p>
          <w:p w14:paraId="54A033FB">
            <w:pPr>
              <w:pStyle w:val="35"/>
              <w:tabs>
                <w:tab w:val="left" w:pos="0"/>
              </w:tabs>
              <w:ind w:firstLine="422" w:firstLineChars="200"/>
              <w:rPr>
                <w:b/>
                <w:bCs/>
                <w:i/>
                <w:iCs/>
              </w:rPr>
            </w:pPr>
          </w:p>
          <w:p w14:paraId="20F70691">
            <w:pPr>
              <w:pStyle w:val="35"/>
              <w:tabs>
                <w:tab w:val="left" w:pos="0"/>
              </w:tabs>
              <w:rPr>
                <w:b/>
                <w:bCs/>
                <w:i/>
                <w:iCs/>
              </w:rPr>
            </w:pPr>
            <w:r>
              <w:rPr>
                <w:rFonts w:hint="eastAsia"/>
                <w:b/>
                <w:bCs/>
              </w:rPr>
              <w:t>《海绵城市建设评价标准》GB/T 51345-2018</w:t>
            </w:r>
          </w:p>
          <w:p w14:paraId="3FC3AF1C">
            <w:pPr>
              <w:ind w:firstLine="0" w:firstLineChars="0"/>
              <w:rPr>
                <w:szCs w:val="21"/>
              </w:rPr>
            </w:pPr>
            <w:r>
              <w:rPr>
                <w:rFonts w:hint="eastAsia"/>
                <w:szCs w:val="21"/>
              </w:rPr>
              <w:t>5.1.2 设施径流体积控制规模核算应符合下列规定：</w:t>
            </w:r>
          </w:p>
          <w:p w14:paraId="5121951F">
            <w:pPr>
              <w:ind w:firstLine="420"/>
              <w:rPr>
                <w:szCs w:val="21"/>
              </w:rPr>
            </w:pPr>
            <w:r>
              <w:rPr>
                <w:rFonts w:hint="eastAsia"/>
                <w:szCs w:val="21"/>
              </w:rPr>
              <w:t>2 渗透、渗滤及滞蓄设施的径流体积控制规模应按下列公式计算：</w:t>
            </w:r>
          </w:p>
          <w:p w14:paraId="106298D6">
            <w:pPr>
              <w:ind w:firstLine="420"/>
              <w:jc w:val="center"/>
              <w:rPr>
                <w:szCs w:val="21"/>
              </w:rPr>
            </w:pPr>
            <m:oMathPara>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m:oMathPara>
          </w:p>
          <w:p w14:paraId="318E03AA">
            <w:pPr>
              <w:ind w:firstLine="420"/>
              <w:jc w:val="center"/>
              <w:rPr>
                <w:szCs w:val="21"/>
              </w:rPr>
            </w:pPr>
            <m:oMathPara>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r>
                  <m:rPr/>
                  <w:rPr>
                    <w:rFonts w:ascii="Cambria Math" w:hAnsi="Cambria Math"/>
                    <w:szCs w:val="21"/>
                  </w:rPr>
                  <m:t>=</m:t>
                </m:r>
                <m:r>
                  <m:rPr>
                    <m:sty m:val="p"/>
                  </m:rPr>
                  <w:rPr>
                    <w:rFonts w:ascii="Cambria Math" w:hAnsi="Cambria Math"/>
                    <w:szCs w:val="21"/>
                  </w:rPr>
                  <m:t>KJA</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m:oMathPara>
          </w:p>
          <w:p w14:paraId="302F53E5">
            <w:pPr>
              <w:ind w:firstLine="0" w:firstLineChars="0"/>
              <w:rPr>
                <w:bCs/>
                <w:szCs w:val="21"/>
              </w:rPr>
            </w:pPr>
            <w:r>
              <w:rPr>
                <w:rFonts w:hint="eastAsia"/>
                <w:bCs/>
                <w:szCs w:val="21"/>
              </w:rPr>
              <w:t>式中：</w:t>
            </w: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w:r>
              <w:rPr>
                <w:rFonts w:hint="eastAsia"/>
                <w:bCs/>
                <w:szCs w:val="21"/>
              </w:rPr>
              <w:t>——</w:t>
            </w:r>
            <w:r>
              <w:rPr>
                <w:rFonts w:hint="eastAsia"/>
                <w:szCs w:val="21"/>
              </w:rPr>
              <w:t>渗透、渗滤及滞蓄设施的径流体积控制规模</w:t>
            </w:r>
            <w:bookmarkStart w:id="65" w:name="OLE_LINK2"/>
            <w:r>
              <w:rPr>
                <w:rFonts w:hint="eastAsia"/>
                <w:bCs/>
                <w:szCs w:val="21"/>
              </w:rPr>
              <w:t>（m</w:t>
            </w:r>
            <w:r>
              <w:rPr>
                <w:bCs/>
                <w:szCs w:val="21"/>
                <w:vertAlign w:val="superscript"/>
              </w:rPr>
              <w:t>3</w:t>
            </w:r>
            <w:r>
              <w:rPr>
                <w:rFonts w:hint="eastAsia"/>
                <w:bCs/>
                <w:szCs w:val="21"/>
              </w:rPr>
              <w:t>）</w:t>
            </w:r>
            <w:bookmarkEnd w:id="65"/>
            <w:r>
              <w:rPr>
                <w:rFonts w:hint="eastAsia"/>
                <w:bCs/>
                <w:szCs w:val="21"/>
              </w:rPr>
              <w:t>；</w:t>
            </w:r>
          </w:p>
          <w:p w14:paraId="22B24871">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w:r>
              <w:rPr>
                <w:rFonts w:hint="eastAsia"/>
                <w:bCs/>
                <w:szCs w:val="21"/>
              </w:rPr>
              <w:t>——设施有效滞蓄容积（m</w:t>
            </w:r>
            <w:r>
              <w:rPr>
                <w:bCs/>
                <w:szCs w:val="21"/>
                <w:vertAlign w:val="superscript"/>
              </w:rPr>
              <w:t>3</w:t>
            </w:r>
            <w:r>
              <w:rPr>
                <w:rFonts w:hint="eastAsia"/>
                <w:bCs/>
                <w:szCs w:val="21"/>
              </w:rPr>
              <w:t>）；</w:t>
            </w:r>
          </w:p>
          <w:p w14:paraId="2C91DF22">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w:r>
              <w:rPr>
                <w:rFonts w:hint="eastAsia"/>
                <w:bCs/>
                <w:szCs w:val="21"/>
              </w:rPr>
              <w:t>——渗透与渗滤设施降雨过程中的入渗量（m</w:t>
            </w:r>
            <w:r>
              <w:rPr>
                <w:bCs/>
                <w:szCs w:val="21"/>
                <w:vertAlign w:val="superscript"/>
              </w:rPr>
              <w:t>3</w:t>
            </w:r>
            <w:r>
              <w:rPr>
                <w:rFonts w:hint="eastAsia"/>
                <w:bCs/>
                <w:szCs w:val="21"/>
              </w:rPr>
              <w:t>）；</w:t>
            </w:r>
          </w:p>
          <w:p w14:paraId="7329EB26">
            <w:pPr>
              <w:ind w:left="630" w:leftChars="300" w:firstLine="0" w:firstLineChars="0"/>
              <w:rPr>
                <w:bCs/>
                <w:szCs w:val="21"/>
              </w:rPr>
            </w:pPr>
            <m:oMath>
              <m:r>
                <m:rPr/>
                <w:rPr>
                  <w:rFonts w:ascii="Cambria Math" w:hAnsi="Cambria Math"/>
                  <w:szCs w:val="21"/>
                </w:rPr>
                <m:t>K</m:t>
              </m:r>
            </m:oMath>
            <w:r>
              <w:rPr>
                <w:rFonts w:hint="eastAsia"/>
                <w:bCs/>
                <w:szCs w:val="21"/>
              </w:rPr>
              <w:t>——土壤或人工介质的饱和渗透系数（m/h）；根据设施滞蓄空间的有效蓄水深度和设计排空时间计算确定，由土壤类型或人工介质构成决定，不同类型土壤的渗透系数可按现行国家标准《建筑与小区雨水控制及利用工程技术规范》GB50400的规定取值；</w:t>
            </w:r>
          </w:p>
          <w:p w14:paraId="2A2EFBCE">
            <w:pPr>
              <w:ind w:left="630" w:leftChars="300" w:firstLine="0" w:firstLineChars="0"/>
              <w:rPr>
                <w:szCs w:val="21"/>
              </w:rPr>
            </w:pPr>
            <m:oMath>
              <m:r>
                <m:rPr/>
                <w:rPr>
                  <w:rFonts w:ascii="Cambria Math" w:hAnsi="Cambria Math"/>
                  <w:szCs w:val="21"/>
                </w:rPr>
                <m:t>J</m:t>
              </m:r>
            </m:oMath>
            <w:r>
              <w:rPr>
                <w:rFonts w:hint="eastAsia"/>
                <w:szCs w:val="21"/>
              </w:rPr>
              <w:t>——水力坡度，一般取1；</w:t>
            </w:r>
          </w:p>
          <w:p w14:paraId="677ECFFF">
            <w:pPr>
              <w:ind w:left="630" w:leftChars="300" w:firstLine="0" w:firstLineChars="0"/>
              <w:rPr>
                <w:bCs/>
                <w:szCs w:val="21"/>
              </w:rPr>
            </w:pPr>
            <m:oMath>
              <m:r>
                <m:rPr/>
                <w:rPr>
                  <w:rFonts w:ascii="Cambria Math" w:hAnsi="Cambria Math"/>
                  <w:szCs w:val="21"/>
                </w:rPr>
                <m:t>A</m:t>
              </m:r>
            </m:oMath>
            <w:r>
              <w:rPr>
                <w:rFonts w:hint="eastAsia"/>
                <w:szCs w:val="21"/>
              </w:rPr>
              <w:t>——有效渗透面积</w:t>
            </w:r>
            <w:r>
              <w:rPr>
                <w:rFonts w:hint="eastAsia"/>
                <w:bCs/>
                <w:szCs w:val="21"/>
              </w:rPr>
              <w:t>（m</w:t>
            </w:r>
            <w:r>
              <w:rPr>
                <w:rFonts w:hint="eastAsia"/>
                <w:bCs/>
                <w:szCs w:val="21"/>
                <w:vertAlign w:val="superscript"/>
              </w:rPr>
              <w:t>2</w:t>
            </w:r>
            <w:r>
              <w:rPr>
                <w:rFonts w:hint="eastAsia"/>
                <w:bCs/>
                <w:szCs w:val="21"/>
              </w:rPr>
              <w:t>）；</w:t>
            </w:r>
          </w:p>
          <w:p w14:paraId="06FE5264">
            <w:pPr>
              <w:ind w:left="630" w:leftChars="300" w:firstLine="0" w:firstLineChars="0"/>
              <w:rPr>
                <w:b/>
                <w:bCs/>
                <w:i/>
                <w:iCs/>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w:r>
              <w:rPr>
                <w:rFonts w:hint="eastAsia"/>
                <w:szCs w:val="21"/>
              </w:rPr>
              <w:t>——</w:t>
            </w:r>
            <w:r>
              <w:rPr>
                <w:rFonts w:hint="eastAsia"/>
                <w:bCs/>
                <w:szCs w:val="21"/>
              </w:rPr>
              <w:t>降雨过程中的入渗历时</w:t>
            </w:r>
            <w:r>
              <w:rPr>
                <w:rFonts w:hint="eastAsia"/>
                <w:bCs/>
                <w:szCs w:val="21"/>
                <w:lang w:eastAsia="zh-CN"/>
              </w:rPr>
              <w:t>（</w:t>
            </w:r>
            <w:r>
              <w:rPr>
                <w:rFonts w:hint="eastAsia"/>
                <w:bCs/>
                <w:szCs w:val="21"/>
              </w:rPr>
              <w:t>h</w:t>
            </w:r>
            <w:r>
              <w:rPr>
                <w:rFonts w:hint="eastAsia"/>
                <w:bCs/>
                <w:szCs w:val="21"/>
                <w:lang w:eastAsia="zh-CN"/>
              </w:rPr>
              <w:t>）</w:t>
            </w:r>
            <w:r>
              <w:rPr>
                <w:rFonts w:hint="eastAsia"/>
                <w:bCs/>
                <w:szCs w:val="21"/>
              </w:rPr>
              <w:t>，为当地多年平均场降雨历时，资料缺乏时，可根据平均场降雨历时特点取2h~12h。</w:t>
            </w:r>
          </w:p>
          <w:p w14:paraId="65AB7741">
            <w:pPr>
              <w:pStyle w:val="35"/>
              <w:tabs>
                <w:tab w:val="left" w:pos="0"/>
              </w:tabs>
              <w:ind w:firstLine="420" w:firstLineChars="200"/>
              <w:rPr>
                <w:szCs w:val="21"/>
              </w:rPr>
            </w:pPr>
            <w:r>
              <w:rPr>
                <w:rFonts w:hint="eastAsia"/>
                <w:szCs w:val="21"/>
              </w:rPr>
              <w:t>3 延时调节设施的径流体积控制规模按下列公式计算：</w:t>
            </w:r>
          </w:p>
          <w:p w14:paraId="7E0AE9E7">
            <w:pPr>
              <w:ind w:firstLine="420"/>
              <w:jc w:val="center"/>
              <w:rPr>
                <w:szCs w:val="21"/>
              </w:rPr>
            </w:pPr>
            <m:oMathPara>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m:oMathPara>
          </w:p>
          <w:p w14:paraId="03BC3556">
            <w:pPr>
              <w:pStyle w:val="35"/>
              <w:tabs>
                <w:tab w:val="left" w:pos="0"/>
              </w:tabs>
              <w:ind w:firstLine="420" w:firstLineChars="200"/>
              <w:rPr>
                <w:rFonts w:hAnsi="Cambria Math"/>
                <w:szCs w:val="21"/>
              </w:rPr>
            </w:pPr>
            <m:oMathPara>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oMath>
            </m:oMathPara>
          </w:p>
          <w:p w14:paraId="6656E5CD">
            <w:pPr>
              <w:ind w:firstLine="0" w:firstLineChars="0"/>
              <w:rPr>
                <w:bCs/>
                <w:szCs w:val="21"/>
              </w:rPr>
            </w:pPr>
            <w:r>
              <w:rPr>
                <w:rFonts w:hint="eastAsia"/>
                <w:bCs/>
                <w:szCs w:val="21"/>
              </w:rPr>
              <w:t>式中：</w:t>
            </w: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w:r>
              <w:rPr>
                <w:rFonts w:hint="eastAsia"/>
                <w:bCs/>
                <w:szCs w:val="21"/>
              </w:rPr>
              <w:t>——延时调节设施的径流体积</w:t>
            </w:r>
            <w:r>
              <w:rPr>
                <w:rFonts w:hint="eastAsia"/>
                <w:szCs w:val="21"/>
              </w:rPr>
              <w:t>控制规模</w:t>
            </w:r>
            <w:r>
              <w:rPr>
                <w:rFonts w:hint="eastAsia"/>
                <w:bCs/>
                <w:szCs w:val="21"/>
              </w:rPr>
              <w:t>（m</w:t>
            </w:r>
            <w:r>
              <w:rPr>
                <w:bCs/>
                <w:szCs w:val="21"/>
                <w:vertAlign w:val="superscript"/>
              </w:rPr>
              <w:t>3</w:t>
            </w:r>
            <w:r>
              <w:rPr>
                <w:rFonts w:hint="eastAsia"/>
                <w:bCs/>
                <w:szCs w:val="21"/>
              </w:rPr>
              <w:t>）；</w:t>
            </w:r>
          </w:p>
          <w:p w14:paraId="2EBAE734">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w:r>
              <w:rPr>
                <w:rFonts w:hint="eastAsia"/>
                <w:bCs/>
                <w:szCs w:val="21"/>
              </w:rPr>
              <w:t>——延时调节设施降雨过程中的排放量（m</w:t>
            </w:r>
            <w:r>
              <w:rPr>
                <w:bCs/>
                <w:szCs w:val="21"/>
                <w:vertAlign w:val="superscript"/>
              </w:rPr>
              <w:t>3</w:t>
            </w:r>
            <w:r>
              <w:rPr>
                <w:rFonts w:hint="eastAsia"/>
                <w:bCs/>
                <w:szCs w:val="21"/>
              </w:rPr>
              <w:t>）；</w:t>
            </w:r>
          </w:p>
          <w:p w14:paraId="534487C9">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d</m:t>
                  </m:r>
                  <m:ctrlPr>
                    <w:rPr>
                      <w:rFonts w:ascii="Cambria Math" w:hAnsi="Cambria Math"/>
                      <w:i/>
                      <w:szCs w:val="21"/>
                    </w:rPr>
                  </m:ctrlPr>
                </m:sub>
              </m:sSub>
            </m:oMath>
            <w:r>
              <w:rPr>
                <w:rFonts w:hint="eastAsia"/>
                <w:szCs w:val="21"/>
              </w:rPr>
              <w:t>——设计排空时间</w:t>
            </w:r>
            <w:r>
              <w:rPr>
                <w:rFonts w:hint="eastAsia"/>
                <w:bCs/>
                <w:szCs w:val="21"/>
              </w:rPr>
              <w:t>（h），根据设计悬浮物（SS）去除能力所需停留时间确定；</w:t>
            </w:r>
          </w:p>
          <w:p w14:paraId="071A1851">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oMath>
            <w:r>
              <w:rPr>
                <w:rFonts w:hint="eastAsia"/>
                <w:bCs/>
                <w:szCs w:val="21"/>
              </w:rPr>
              <w:t>——降雨过程中的排放历时（h），为当地多年平均场降雨历时，资料缺乏时，可根据平均场降雨历时特点取2h~12h；</w:t>
            </w:r>
          </w:p>
          <w:p w14:paraId="0F239D4B">
            <w:pPr>
              <w:pStyle w:val="35"/>
              <w:tabs>
                <w:tab w:val="left" w:pos="0"/>
              </w:tabs>
              <w:rPr>
                <w:b/>
                <w:bCs/>
                <w:i/>
                <w:iCs/>
              </w:rPr>
            </w:pPr>
            <w:r>
              <w:rPr>
                <w:rFonts w:hint="eastAsia"/>
                <w:b/>
                <w:bCs/>
                <w:i/>
                <w:iCs/>
              </w:rPr>
              <w:t>审查说明：雨水花园、生物滞留设施、下凹式绿地等各类渗透、渗滤及滞蓄设施在降雨过程中的入渗量可计入调蓄容积。延时调节设施在降雨过程中的排放量也可计入控制容积。</w:t>
            </w:r>
          </w:p>
          <w:p w14:paraId="6455ECC2">
            <w:pPr>
              <w:pStyle w:val="35"/>
              <w:tabs>
                <w:tab w:val="left" w:pos="0"/>
              </w:tabs>
              <w:ind w:firstLine="420" w:firstLineChars="200"/>
              <w:rPr>
                <w:rFonts w:hAnsi="Cambria Math"/>
                <w:szCs w:val="21"/>
              </w:rPr>
            </w:pPr>
          </w:p>
          <w:p w14:paraId="7C577F9D">
            <w:pPr>
              <w:widowControl w:val="0"/>
              <w:tabs>
                <w:tab w:val="left" w:pos="420"/>
              </w:tabs>
              <w:spacing w:line="360" w:lineRule="auto"/>
              <w:ind w:firstLine="0" w:firstLineChars="0"/>
              <w:jc w:val="both"/>
              <w:rPr>
                <w:rFonts w:ascii="Times New Roman" w:hAnsi="Times New Roman" w:eastAsia="宋体" w:cs="Times New Roman"/>
                <w:b/>
                <w:bCs/>
                <w:kern w:val="2"/>
                <w:sz w:val="21"/>
                <w:szCs w:val="21"/>
                <w:lang w:val="en-US" w:eastAsia="zh-CN" w:bidi="ar-SA"/>
              </w:rPr>
            </w:pPr>
            <w:r>
              <w:rPr>
                <w:rFonts w:ascii="Times New Roman" w:hAnsi="Times New Roman" w:eastAsia="宋体" w:cs="Times New Roman"/>
                <w:b/>
                <w:bCs/>
                <w:kern w:val="2"/>
                <w:sz w:val="21"/>
                <w:szCs w:val="21"/>
                <w:lang w:val="en-US" w:eastAsia="zh-CN" w:bidi="ar-SA"/>
              </w:rPr>
              <w:t>《海绵城市规划与设计标准》DG/TJ 08-2298-2026</w:t>
            </w:r>
          </w:p>
          <w:p w14:paraId="4F68B640">
            <w:pPr>
              <w:pStyle w:val="35"/>
              <w:tabs>
                <w:tab w:val="left" w:pos="0"/>
              </w:tabs>
              <w:rPr>
                <w:rFonts w:cstheme="minorEastAsia"/>
                <w:bCs/>
                <w:szCs w:val="21"/>
              </w:rPr>
            </w:pPr>
            <w:r>
              <w:rPr>
                <w:rFonts w:hint="eastAsia" w:cstheme="minorEastAsia"/>
                <w:bCs/>
                <w:szCs w:val="21"/>
              </w:rPr>
              <w:t>6.2.4</w:t>
            </w:r>
            <w:r>
              <w:rPr>
                <w:rFonts w:hint="eastAsia" w:cstheme="minorEastAsia"/>
                <w:bCs/>
                <w:szCs w:val="21"/>
                <w:lang w:val="en-US" w:eastAsia="zh-CN"/>
              </w:rPr>
              <w:t xml:space="preserve"> </w:t>
            </w:r>
            <w:r>
              <w:rPr>
                <w:rFonts w:hint="eastAsia" w:cstheme="minorEastAsia"/>
                <w:bCs/>
                <w:szCs w:val="21"/>
              </w:rPr>
              <w:t>年径流污染控制率应以固体悬浮物（SS）的削减量计，可按下式计算:</w:t>
            </w:r>
          </w:p>
          <w:p w14:paraId="7F24A50A">
            <w:pPr>
              <w:pStyle w:val="35"/>
              <w:tabs>
                <w:tab w:val="left" w:pos="0"/>
              </w:tabs>
              <w:rPr>
                <w:rFonts w:cstheme="minorEastAsia"/>
                <w:bCs/>
                <w:szCs w:val="21"/>
              </w:rPr>
            </w:pPr>
            <m:oMathPara>
              <m:oMath>
                <m:r>
                  <m:rPr/>
                  <w:rPr>
                    <w:rFonts w:ascii="Cambria Math" w:hAnsi="Cambria Math" w:eastAsia="Cambria Math" w:cs="Cambria Math"/>
                    <w:szCs w:val="21"/>
                  </w:rPr>
                  <m:t>β</m:t>
                </m:r>
                <m:r>
                  <m:rPr>
                    <m:sty m:val="p"/>
                  </m:rPr>
                  <w:rPr>
                    <w:rFonts w:ascii="Cambria Math" w:hAnsi="Cambria Math" w:eastAsia="Cambria Math" w:cs="Cambria Math"/>
                    <w:szCs w:val="21"/>
                  </w:rPr>
                  <m:t>=</m:t>
                </m:r>
                <m:f>
                  <m:fPr>
                    <m:ctrlPr>
                      <w:rPr>
                        <w:rFonts w:ascii="Cambria Math" w:hAnsi="Cambria Math" w:eastAsia="Cambria Math" w:cstheme="minorEastAsia"/>
                        <w:bCs/>
                        <w:szCs w:val="21"/>
                      </w:rPr>
                    </m:ctrlPr>
                  </m:fPr>
                  <m:num>
                    <m:r>
                      <m:rPr/>
                      <w:rPr>
                        <w:rFonts w:ascii="Cambria Math" w:hAnsi="Cambria Math" w:eastAsia="Cambria Math" w:cstheme="minorEastAsia"/>
                        <w:szCs w:val="21"/>
                      </w:rPr>
                      <m:t>Σ</m:t>
                    </m:r>
                    <m:d>
                      <m:dPr>
                        <m:begChr m:val="（"/>
                        <m:endChr m:val="）"/>
                        <m:ctrlPr>
                          <w:rPr>
                            <w:rFonts w:ascii="Cambria Math" w:hAnsi="Cambria Math" w:cs="宋体"/>
                            <w:bCs/>
                            <w:i/>
                            <w:szCs w:val="21"/>
                          </w:rPr>
                        </m:ctrlPr>
                      </m:dPr>
                      <m:e>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C</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α</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ctrlPr>
                          <w:rPr>
                            <w:rFonts w:ascii="Cambria Math" w:hAnsi="Cambria Math" w:cs="宋体"/>
                            <w:bCs/>
                            <w:i/>
                            <w:szCs w:val="21"/>
                          </w:rPr>
                        </m:ctrlPr>
                      </m:e>
                    </m:d>
                    <m:ctrlPr>
                      <w:rPr>
                        <w:rFonts w:ascii="Cambria Math" w:hAnsi="Cambria Math" w:eastAsia="Cambria Math" w:cstheme="minorEastAsia"/>
                        <w:bCs/>
                        <w:szCs w:val="21"/>
                      </w:rPr>
                    </m:ctrlPr>
                  </m:num>
                  <m:den>
                    <m:r>
                      <m:rPr>
                        <m:sty m:val="p"/>
                      </m:rPr>
                      <w:rPr>
                        <w:rFonts w:ascii="Cambria Math" w:hAnsi="Cambria Math" w:eastAsia="Cambria Math" w:cs="Cambria Math"/>
                        <w:szCs w:val="21"/>
                      </w:rPr>
                      <m:t>F</m:t>
                    </m:r>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ctrlPr>
                      <w:rPr>
                        <w:rFonts w:ascii="Cambria Math" w:hAnsi="Cambria Math" w:eastAsia="Cambria Math" w:cstheme="minorEastAsia"/>
                        <w:bCs/>
                        <w:szCs w:val="21"/>
                      </w:rPr>
                    </m:ctrlPr>
                  </m:den>
                </m:f>
              </m:oMath>
            </m:oMathPara>
          </w:p>
          <w:p w14:paraId="3BDC7123">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β</m:t>
              </m:r>
            </m:oMath>
            <w:r>
              <w:rPr>
                <w:rFonts w:hint="eastAsia" w:cstheme="minorEastAsia"/>
                <w:bCs/>
                <w:szCs w:val="21"/>
              </w:rPr>
              <w:t>——项目年径流污染控制率；</w:t>
            </w:r>
          </w:p>
          <w:p w14:paraId="12ED12FA">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——各单体设施汇水面积</w:t>
            </w:r>
            <w:r>
              <w:rPr>
                <w:rFonts w:hint="eastAsia" w:cstheme="minorEastAsia"/>
                <w:bCs/>
                <w:szCs w:val="21"/>
                <w:lang w:eastAsia="zh-CN"/>
              </w:rPr>
              <w:t>（</w:t>
            </w:r>
            <w:r>
              <w:rPr>
                <w:rFonts w:hint="eastAsia" w:cstheme="minorEastAsia"/>
                <w:bCs/>
                <w:szCs w:val="21"/>
              </w:rPr>
              <w:t>m</w:t>
            </w:r>
            <w:r>
              <w:rPr>
                <w:rFonts w:hint="eastAsia" w:cstheme="minorEastAsia"/>
                <w:bCs/>
                <w:szCs w:val="21"/>
                <w:vertAlign w:val="superscript"/>
              </w:rPr>
              <w:t>2</w:t>
            </w:r>
            <w:r>
              <w:rPr>
                <w:rFonts w:hint="eastAsia" w:cstheme="minorEastAsia"/>
                <w:bCs/>
                <w:szCs w:val="21"/>
                <w:lang w:eastAsia="zh-CN"/>
              </w:rPr>
              <w:t>）</w:t>
            </w:r>
            <w:r>
              <w:rPr>
                <w:rFonts w:hint="eastAsia" w:cstheme="minorEastAsia"/>
                <w:bCs/>
                <w:szCs w:val="21"/>
              </w:rPr>
              <w:t>；</w:t>
            </w:r>
          </w:p>
          <w:p w14:paraId="2BFDAA55">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——各单体设施汇水面的综合径流系数；</w:t>
            </w:r>
          </w:p>
          <w:p w14:paraId="3D7C4A7B">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C</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——各单体设施固体悬浮物去除率，应以实测数据为准，缺乏资料时，可参考相似工程经验取值；</w:t>
            </w:r>
          </w:p>
          <w:p w14:paraId="64423516">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α</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szCs w:val="21"/>
              </w:rPr>
              <w:t>——</w:t>
            </w:r>
            <w:r>
              <w:rPr>
                <w:rFonts w:hint="eastAsia" w:cstheme="minorEastAsia"/>
                <w:bCs/>
                <w:szCs w:val="21"/>
              </w:rPr>
              <w:t>各单体设施年径流总量控制率；</w:t>
            </w:r>
          </w:p>
          <w:p w14:paraId="5AFB761E">
            <w:pPr>
              <w:pStyle w:val="35"/>
              <w:tabs>
                <w:tab w:val="left" w:pos="0"/>
              </w:tabs>
              <w:ind w:left="630" w:leftChars="300"/>
              <w:rPr>
                <w:rFonts w:cstheme="minorEastAsia"/>
                <w:bCs/>
                <w:szCs w:val="21"/>
              </w:rPr>
            </w:pPr>
            <m:oMath>
              <m:r>
                <m:rPr>
                  <m:sty m:val="p"/>
                </m:rPr>
                <w:rPr>
                  <w:rFonts w:ascii="Cambria Math" w:hAnsi="Cambria Math" w:cs="Cambria Math"/>
                  <w:szCs w:val="21"/>
                </w:rPr>
                <m:t>F</m:t>
              </m:r>
            </m:oMath>
            <w:r>
              <w:rPr>
                <w:rFonts w:hint="eastAsia" w:cstheme="minorEastAsia"/>
                <w:bCs/>
                <w:szCs w:val="21"/>
              </w:rPr>
              <w:t>——项目占地面积</w:t>
            </w:r>
            <w:r>
              <w:rPr>
                <w:rFonts w:hint="eastAsia" w:cstheme="minorEastAsia"/>
                <w:bCs/>
                <w:szCs w:val="21"/>
                <w:lang w:eastAsia="zh-CN"/>
              </w:rPr>
              <w:t>（</w:t>
            </w:r>
            <w:r>
              <w:rPr>
                <w:rFonts w:hint="eastAsia" w:cstheme="minorEastAsia"/>
                <w:bCs/>
                <w:szCs w:val="21"/>
              </w:rPr>
              <w:t>m</w:t>
            </w:r>
            <w:r>
              <w:rPr>
                <w:rFonts w:hint="eastAsia" w:cstheme="minorEastAsia"/>
                <w:bCs/>
                <w:szCs w:val="21"/>
                <w:vertAlign w:val="superscript"/>
              </w:rPr>
              <w:t>2</w:t>
            </w:r>
            <w:r>
              <w:rPr>
                <w:rFonts w:hint="eastAsia" w:cstheme="minorEastAsia"/>
                <w:bCs/>
                <w:szCs w:val="21"/>
                <w:lang w:eastAsia="zh-CN"/>
              </w:rPr>
              <w:t>）</w:t>
            </w:r>
            <w:r>
              <w:rPr>
                <w:rFonts w:hint="eastAsia" w:cstheme="minorEastAsia"/>
                <w:bCs/>
                <w:szCs w:val="21"/>
              </w:rPr>
              <w:t>；</w:t>
            </w:r>
          </w:p>
          <w:p w14:paraId="7BEF30AA">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oMath>
            <w:r>
              <w:rPr>
                <w:rFonts w:hint="eastAsia" w:cs="宋体"/>
                <w:bCs/>
                <w:szCs w:val="21"/>
              </w:rPr>
              <w:t>——综合径流系数。</w:t>
            </w:r>
          </w:p>
          <w:p w14:paraId="222AECCF">
            <w:pPr>
              <w:pStyle w:val="35"/>
              <w:tabs>
                <w:tab w:val="left" w:pos="0"/>
              </w:tabs>
              <w:rPr>
                <w:b/>
                <w:bCs/>
                <w:i/>
                <w:iCs/>
              </w:rPr>
            </w:pPr>
            <w:r>
              <w:rPr>
                <w:rFonts w:hint="eastAsia"/>
                <w:b/>
                <w:bCs/>
                <w:i/>
                <w:iCs/>
              </w:rPr>
              <w:t>审查说明：当缺乏实测资料时，可按表2取值计算。</w:t>
            </w:r>
          </w:p>
          <w:p w14:paraId="63CB8F33">
            <w:pPr>
              <w:pStyle w:val="35"/>
              <w:tabs>
                <w:tab w:val="left" w:pos="0"/>
              </w:tabs>
              <w:jc w:val="center"/>
              <w:rPr>
                <w:szCs w:val="21"/>
              </w:rPr>
            </w:pPr>
            <w:r>
              <w:rPr>
                <w:rFonts w:hint="eastAsia"/>
                <w:szCs w:val="21"/>
              </w:rPr>
              <w:t>表2 常用海绵设施污染物去除率一览表</w:t>
            </w:r>
          </w:p>
          <w:tbl>
            <w:tblPr>
              <w:tblStyle w:val="24"/>
              <w:tblW w:w="4999" w:type="pct"/>
              <w:tblInd w:w="11"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2827"/>
              <w:gridCol w:w="2279"/>
            </w:tblGrid>
            <w:tr w14:paraId="126B92C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177" w:type="pct"/>
                  <w:vMerge w:val="restart"/>
                  <w:tcBorders>
                    <w:tl2br w:val="nil"/>
                    <w:tr2bl w:val="nil"/>
                  </w:tcBorders>
                  <w:vAlign w:val="center"/>
                </w:tcPr>
                <w:p w14:paraId="134174BE">
                  <w:pPr>
                    <w:pStyle w:val="35"/>
                    <w:tabs>
                      <w:tab w:val="left" w:pos="0"/>
                    </w:tabs>
                    <w:spacing w:line="240" w:lineRule="auto"/>
                    <w:jc w:val="center"/>
                    <w:rPr>
                      <w:szCs w:val="21"/>
                    </w:rPr>
                  </w:pPr>
                  <w:r>
                    <w:rPr>
                      <w:szCs w:val="21"/>
                    </w:rPr>
                    <w:t>单项设施</w:t>
                  </w:r>
                </w:p>
              </w:tc>
              <w:tc>
                <w:tcPr>
                  <w:tcW w:w="3822" w:type="pct"/>
                  <w:gridSpan w:val="2"/>
                  <w:tcBorders>
                    <w:tl2br w:val="nil"/>
                    <w:tr2bl w:val="nil"/>
                  </w:tcBorders>
                  <w:vAlign w:val="center"/>
                </w:tcPr>
                <w:p w14:paraId="51284F00">
                  <w:pPr>
                    <w:pStyle w:val="35"/>
                    <w:tabs>
                      <w:tab w:val="left" w:pos="0"/>
                    </w:tabs>
                    <w:spacing w:line="240" w:lineRule="auto"/>
                    <w:jc w:val="center"/>
                    <w:rPr>
                      <w:szCs w:val="21"/>
                    </w:rPr>
                  </w:pPr>
                  <w:r>
                    <w:rPr>
                      <w:szCs w:val="21"/>
                    </w:rPr>
                    <w:t>污染物去除率（以SS计，%）</w:t>
                  </w:r>
                </w:p>
              </w:tc>
            </w:tr>
            <w:tr w14:paraId="29CF416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77" w:type="pct"/>
                  <w:vMerge w:val="continue"/>
                  <w:tcBorders>
                    <w:tl2br w:val="nil"/>
                    <w:tr2bl w:val="nil"/>
                  </w:tcBorders>
                  <w:vAlign w:val="center"/>
                </w:tcPr>
                <w:p w14:paraId="43E9FB90">
                  <w:pPr>
                    <w:pStyle w:val="35"/>
                    <w:tabs>
                      <w:tab w:val="left" w:pos="0"/>
                    </w:tabs>
                    <w:spacing w:line="240" w:lineRule="auto"/>
                    <w:jc w:val="center"/>
                    <w:rPr>
                      <w:szCs w:val="21"/>
                    </w:rPr>
                  </w:pPr>
                </w:p>
              </w:tc>
              <w:tc>
                <w:tcPr>
                  <w:tcW w:w="2116" w:type="pct"/>
                  <w:tcBorders>
                    <w:tl2br w:val="nil"/>
                    <w:tr2bl w:val="nil"/>
                  </w:tcBorders>
                  <w:vAlign w:val="center"/>
                </w:tcPr>
                <w:p w14:paraId="02648A0D">
                  <w:pPr>
                    <w:pStyle w:val="35"/>
                    <w:tabs>
                      <w:tab w:val="left" w:pos="0"/>
                    </w:tabs>
                    <w:spacing w:line="240" w:lineRule="auto"/>
                    <w:jc w:val="center"/>
                    <w:rPr>
                      <w:szCs w:val="21"/>
                      <w:vertAlign w:val="superscript"/>
                    </w:rPr>
                  </w:pPr>
                  <w:r>
                    <w:rPr>
                      <w:szCs w:val="21"/>
                    </w:rPr>
                    <w:t>美国流域保护中心研究数据</w:t>
                  </w:r>
                </w:p>
              </w:tc>
              <w:tc>
                <w:tcPr>
                  <w:tcW w:w="1706" w:type="pct"/>
                  <w:tcBorders>
                    <w:tl2br w:val="nil"/>
                    <w:tr2bl w:val="nil"/>
                  </w:tcBorders>
                  <w:vAlign w:val="center"/>
                </w:tcPr>
                <w:p w14:paraId="6610B3D1">
                  <w:pPr>
                    <w:pStyle w:val="35"/>
                    <w:tabs>
                      <w:tab w:val="left" w:pos="0"/>
                    </w:tabs>
                    <w:spacing w:line="240" w:lineRule="auto"/>
                    <w:jc w:val="center"/>
                    <w:rPr>
                      <w:szCs w:val="21"/>
                    </w:rPr>
                  </w:pPr>
                  <w:r>
                    <w:rPr>
                      <w:szCs w:val="21"/>
                    </w:rPr>
                    <w:t>国内及上海研究数据</w:t>
                  </w:r>
                </w:p>
              </w:tc>
            </w:tr>
            <w:tr w14:paraId="3B71D7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0F0BF8AA">
                  <w:pPr>
                    <w:pStyle w:val="35"/>
                    <w:spacing w:line="240" w:lineRule="auto"/>
                    <w:jc w:val="center"/>
                    <w:rPr>
                      <w:szCs w:val="21"/>
                    </w:rPr>
                  </w:pPr>
                  <w:r>
                    <w:rPr>
                      <w:szCs w:val="21"/>
                    </w:rPr>
                    <w:t>绿色屋顶</w:t>
                  </w:r>
                </w:p>
              </w:tc>
              <w:tc>
                <w:tcPr>
                  <w:tcW w:w="2116" w:type="pct"/>
                  <w:tcBorders>
                    <w:tl2br w:val="nil"/>
                    <w:tr2bl w:val="nil"/>
                  </w:tcBorders>
                  <w:vAlign w:val="center"/>
                </w:tcPr>
                <w:p w14:paraId="594F3DBD">
                  <w:pPr>
                    <w:pStyle w:val="35"/>
                    <w:spacing w:line="240" w:lineRule="auto"/>
                    <w:jc w:val="center"/>
                    <w:rPr>
                      <w:szCs w:val="21"/>
                    </w:rPr>
                  </w:pPr>
                  <w:r>
                    <w:rPr>
                      <w:szCs w:val="21"/>
                    </w:rPr>
                    <w:t>70</w:t>
                  </w:r>
                  <w:r>
                    <w:rPr>
                      <w:rFonts w:hint="eastAsia"/>
                      <w:szCs w:val="21"/>
                    </w:rPr>
                    <w:t>~</w:t>
                  </w:r>
                  <w:r>
                    <w:rPr>
                      <w:szCs w:val="21"/>
                    </w:rPr>
                    <w:t>80</w:t>
                  </w:r>
                </w:p>
              </w:tc>
              <w:tc>
                <w:tcPr>
                  <w:tcW w:w="1706" w:type="pct"/>
                  <w:tcBorders>
                    <w:tl2br w:val="nil"/>
                    <w:tr2bl w:val="nil"/>
                  </w:tcBorders>
                  <w:vAlign w:val="center"/>
                </w:tcPr>
                <w:p w14:paraId="50006D67">
                  <w:pPr>
                    <w:pStyle w:val="35"/>
                    <w:spacing w:line="240" w:lineRule="auto"/>
                    <w:jc w:val="center"/>
                    <w:rPr>
                      <w:szCs w:val="21"/>
                    </w:rPr>
                  </w:pPr>
                  <w:r>
                    <w:rPr>
                      <w:rFonts w:hint="eastAsia"/>
                      <w:szCs w:val="21"/>
                    </w:rPr>
                    <w:t>70~80</w:t>
                  </w:r>
                </w:p>
              </w:tc>
            </w:tr>
            <w:tr w14:paraId="00E27B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19752180">
                  <w:pPr>
                    <w:pStyle w:val="35"/>
                    <w:spacing w:line="240" w:lineRule="auto"/>
                    <w:jc w:val="center"/>
                    <w:rPr>
                      <w:szCs w:val="21"/>
                    </w:rPr>
                  </w:pPr>
                  <w:r>
                    <w:rPr>
                      <w:szCs w:val="21"/>
                    </w:rPr>
                    <w:t>透水铺装</w:t>
                  </w:r>
                </w:p>
              </w:tc>
              <w:tc>
                <w:tcPr>
                  <w:tcW w:w="2116" w:type="pct"/>
                  <w:tcBorders>
                    <w:tl2br w:val="nil"/>
                    <w:tr2bl w:val="nil"/>
                  </w:tcBorders>
                  <w:vAlign w:val="center"/>
                </w:tcPr>
                <w:p w14:paraId="3D92D7C8">
                  <w:pPr>
                    <w:pStyle w:val="35"/>
                    <w:spacing w:line="240" w:lineRule="auto"/>
                    <w:jc w:val="center"/>
                    <w:rPr>
                      <w:szCs w:val="21"/>
                    </w:rPr>
                  </w:pPr>
                  <w:r>
                    <w:rPr>
                      <w:szCs w:val="21"/>
                    </w:rPr>
                    <w:t>80</w:t>
                  </w:r>
                  <w:r>
                    <w:rPr>
                      <w:rFonts w:hint="eastAsia"/>
                      <w:szCs w:val="21"/>
                    </w:rPr>
                    <w:t>~</w:t>
                  </w:r>
                  <w:r>
                    <w:rPr>
                      <w:szCs w:val="21"/>
                    </w:rPr>
                    <w:t>90</w:t>
                  </w:r>
                </w:p>
              </w:tc>
              <w:tc>
                <w:tcPr>
                  <w:tcW w:w="1706" w:type="pct"/>
                  <w:tcBorders>
                    <w:tl2br w:val="nil"/>
                    <w:tr2bl w:val="nil"/>
                  </w:tcBorders>
                  <w:vAlign w:val="center"/>
                </w:tcPr>
                <w:p w14:paraId="456CFAE8">
                  <w:pPr>
                    <w:pStyle w:val="35"/>
                    <w:spacing w:line="240" w:lineRule="auto"/>
                    <w:jc w:val="center"/>
                    <w:rPr>
                      <w:szCs w:val="21"/>
                    </w:rPr>
                  </w:pPr>
                  <w:r>
                    <w:rPr>
                      <w:szCs w:val="21"/>
                    </w:rPr>
                    <w:t>80</w:t>
                  </w:r>
                  <w:r>
                    <w:rPr>
                      <w:rFonts w:hint="eastAsia"/>
                      <w:szCs w:val="21"/>
                    </w:rPr>
                    <w:t>~</w:t>
                  </w:r>
                  <w:r>
                    <w:rPr>
                      <w:szCs w:val="21"/>
                    </w:rPr>
                    <w:t>90</w:t>
                  </w:r>
                </w:p>
              </w:tc>
            </w:tr>
            <w:tr w14:paraId="6E291B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0BAED305">
                  <w:pPr>
                    <w:pStyle w:val="35"/>
                    <w:spacing w:line="240" w:lineRule="auto"/>
                    <w:jc w:val="center"/>
                    <w:rPr>
                      <w:szCs w:val="21"/>
                    </w:rPr>
                  </w:pPr>
                  <w:r>
                    <w:rPr>
                      <w:szCs w:val="21"/>
                    </w:rPr>
                    <w:t>生物滞留设施</w:t>
                  </w:r>
                </w:p>
              </w:tc>
              <w:tc>
                <w:tcPr>
                  <w:tcW w:w="2116" w:type="pct"/>
                  <w:tcBorders>
                    <w:tl2br w:val="nil"/>
                    <w:tr2bl w:val="nil"/>
                  </w:tcBorders>
                  <w:vAlign w:val="center"/>
                </w:tcPr>
                <w:p w14:paraId="4CE22B60">
                  <w:pPr>
                    <w:pStyle w:val="35"/>
                    <w:spacing w:line="240" w:lineRule="auto"/>
                    <w:jc w:val="center"/>
                    <w:rPr>
                      <w:szCs w:val="21"/>
                    </w:rPr>
                  </w:pPr>
                  <w:r>
                    <w:rPr>
                      <w:szCs w:val="21"/>
                    </w:rPr>
                    <w:t>70</w:t>
                  </w:r>
                  <w:r>
                    <w:rPr>
                      <w:rFonts w:hint="eastAsia"/>
                      <w:szCs w:val="21"/>
                    </w:rPr>
                    <w:t>~</w:t>
                  </w:r>
                  <w:r>
                    <w:rPr>
                      <w:szCs w:val="21"/>
                    </w:rPr>
                    <w:t>95</w:t>
                  </w:r>
                </w:p>
              </w:tc>
              <w:tc>
                <w:tcPr>
                  <w:tcW w:w="1706" w:type="pct"/>
                  <w:tcBorders>
                    <w:tl2br w:val="nil"/>
                    <w:tr2bl w:val="nil"/>
                  </w:tcBorders>
                  <w:vAlign w:val="center"/>
                </w:tcPr>
                <w:p w14:paraId="1BA6EEF0">
                  <w:pPr>
                    <w:pStyle w:val="35"/>
                    <w:spacing w:line="240" w:lineRule="auto"/>
                    <w:jc w:val="center"/>
                    <w:rPr>
                      <w:szCs w:val="21"/>
                    </w:rPr>
                  </w:pPr>
                  <w:r>
                    <w:rPr>
                      <w:szCs w:val="21"/>
                    </w:rPr>
                    <w:t>70</w:t>
                  </w:r>
                  <w:r>
                    <w:rPr>
                      <w:rFonts w:hint="eastAsia"/>
                      <w:szCs w:val="21"/>
                    </w:rPr>
                    <w:t>~90</w:t>
                  </w:r>
                </w:p>
              </w:tc>
            </w:tr>
            <w:tr w14:paraId="42FDC9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3A21D394">
                  <w:pPr>
                    <w:pStyle w:val="35"/>
                    <w:spacing w:line="240" w:lineRule="auto"/>
                    <w:jc w:val="center"/>
                    <w:rPr>
                      <w:szCs w:val="21"/>
                    </w:rPr>
                  </w:pPr>
                  <w:r>
                    <w:rPr>
                      <w:szCs w:val="21"/>
                    </w:rPr>
                    <w:t>湿塘</w:t>
                  </w:r>
                </w:p>
              </w:tc>
              <w:tc>
                <w:tcPr>
                  <w:tcW w:w="2116" w:type="pct"/>
                  <w:tcBorders>
                    <w:tl2br w:val="nil"/>
                    <w:tr2bl w:val="nil"/>
                  </w:tcBorders>
                  <w:vAlign w:val="center"/>
                </w:tcPr>
                <w:p w14:paraId="3EBEA550">
                  <w:pPr>
                    <w:pStyle w:val="35"/>
                    <w:spacing w:line="240" w:lineRule="auto"/>
                    <w:jc w:val="center"/>
                    <w:rPr>
                      <w:szCs w:val="21"/>
                    </w:rPr>
                  </w:pPr>
                  <w:r>
                    <w:rPr>
                      <w:szCs w:val="21"/>
                    </w:rPr>
                    <w:t>50</w:t>
                  </w:r>
                  <w:r>
                    <w:rPr>
                      <w:rFonts w:hint="eastAsia"/>
                      <w:szCs w:val="21"/>
                    </w:rPr>
                    <w:t>~</w:t>
                  </w:r>
                  <w:r>
                    <w:rPr>
                      <w:szCs w:val="21"/>
                    </w:rPr>
                    <w:t>80</w:t>
                  </w:r>
                </w:p>
              </w:tc>
              <w:tc>
                <w:tcPr>
                  <w:tcW w:w="1706" w:type="pct"/>
                  <w:tcBorders>
                    <w:tl2br w:val="nil"/>
                    <w:tr2bl w:val="nil"/>
                  </w:tcBorders>
                  <w:vAlign w:val="center"/>
                </w:tcPr>
                <w:p w14:paraId="32D8D205">
                  <w:pPr>
                    <w:pStyle w:val="35"/>
                    <w:spacing w:line="240" w:lineRule="auto"/>
                    <w:jc w:val="center"/>
                    <w:rPr>
                      <w:szCs w:val="21"/>
                    </w:rPr>
                  </w:pPr>
                  <w:r>
                    <w:rPr>
                      <w:szCs w:val="21"/>
                    </w:rPr>
                    <w:t>70</w:t>
                  </w:r>
                  <w:r>
                    <w:rPr>
                      <w:rFonts w:hint="eastAsia"/>
                      <w:szCs w:val="21"/>
                    </w:rPr>
                    <w:t>~90</w:t>
                  </w:r>
                </w:p>
              </w:tc>
            </w:tr>
            <w:tr w14:paraId="56C9F23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1D19E37D">
                  <w:pPr>
                    <w:pStyle w:val="35"/>
                    <w:spacing w:line="240" w:lineRule="auto"/>
                    <w:jc w:val="center"/>
                    <w:rPr>
                      <w:szCs w:val="21"/>
                    </w:rPr>
                  </w:pPr>
                  <w:r>
                    <w:rPr>
                      <w:szCs w:val="21"/>
                    </w:rPr>
                    <w:t>雨水湿地</w:t>
                  </w:r>
                </w:p>
              </w:tc>
              <w:tc>
                <w:tcPr>
                  <w:tcW w:w="2116" w:type="pct"/>
                  <w:tcBorders>
                    <w:tl2br w:val="nil"/>
                    <w:tr2bl w:val="nil"/>
                  </w:tcBorders>
                  <w:vAlign w:val="center"/>
                </w:tcPr>
                <w:p w14:paraId="0538E67D">
                  <w:pPr>
                    <w:pStyle w:val="35"/>
                    <w:spacing w:line="240" w:lineRule="auto"/>
                    <w:jc w:val="center"/>
                    <w:rPr>
                      <w:szCs w:val="21"/>
                    </w:rPr>
                  </w:pPr>
                  <w:r>
                    <w:rPr>
                      <w:szCs w:val="21"/>
                    </w:rPr>
                    <w:t>50</w:t>
                  </w:r>
                  <w:r>
                    <w:rPr>
                      <w:rFonts w:hint="eastAsia"/>
                      <w:szCs w:val="21"/>
                    </w:rPr>
                    <w:t>~</w:t>
                  </w:r>
                  <w:r>
                    <w:rPr>
                      <w:szCs w:val="21"/>
                    </w:rPr>
                    <w:t>80</w:t>
                  </w:r>
                </w:p>
              </w:tc>
              <w:tc>
                <w:tcPr>
                  <w:tcW w:w="1706" w:type="pct"/>
                  <w:tcBorders>
                    <w:tl2br w:val="nil"/>
                    <w:tr2bl w:val="nil"/>
                  </w:tcBorders>
                  <w:vAlign w:val="center"/>
                </w:tcPr>
                <w:p w14:paraId="72EF0619">
                  <w:pPr>
                    <w:pStyle w:val="35"/>
                    <w:spacing w:line="240" w:lineRule="auto"/>
                    <w:jc w:val="center"/>
                    <w:rPr>
                      <w:szCs w:val="21"/>
                    </w:rPr>
                  </w:pPr>
                  <w:r>
                    <w:rPr>
                      <w:szCs w:val="21"/>
                    </w:rPr>
                    <w:t>60</w:t>
                  </w:r>
                  <w:r>
                    <w:rPr>
                      <w:rFonts w:hint="eastAsia"/>
                      <w:szCs w:val="21"/>
                    </w:rPr>
                    <w:t>~80</w:t>
                  </w:r>
                </w:p>
              </w:tc>
            </w:tr>
            <w:tr w14:paraId="180B3C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1C5E92BC">
                  <w:pPr>
                    <w:pStyle w:val="35"/>
                    <w:spacing w:line="240" w:lineRule="auto"/>
                    <w:jc w:val="center"/>
                    <w:rPr>
                      <w:szCs w:val="21"/>
                    </w:rPr>
                  </w:pPr>
                  <w:r>
                    <w:rPr>
                      <w:rFonts w:hint="eastAsia"/>
                      <w:szCs w:val="21"/>
                    </w:rPr>
                    <w:t>调蓄池</w:t>
                  </w:r>
                </w:p>
              </w:tc>
              <w:tc>
                <w:tcPr>
                  <w:tcW w:w="2116" w:type="pct"/>
                  <w:tcBorders>
                    <w:tl2br w:val="nil"/>
                    <w:tr2bl w:val="nil"/>
                  </w:tcBorders>
                  <w:vAlign w:val="center"/>
                </w:tcPr>
                <w:p w14:paraId="732FECD8">
                  <w:pPr>
                    <w:pStyle w:val="35"/>
                    <w:spacing w:line="240" w:lineRule="auto"/>
                    <w:jc w:val="center"/>
                    <w:rPr>
                      <w:szCs w:val="21"/>
                    </w:rPr>
                  </w:pPr>
                  <w:r>
                    <w:rPr>
                      <w:rFonts w:hint="eastAsia"/>
                      <w:szCs w:val="21"/>
                    </w:rPr>
                    <w:t>80~90</w:t>
                  </w:r>
                </w:p>
              </w:tc>
              <w:tc>
                <w:tcPr>
                  <w:tcW w:w="1706" w:type="pct"/>
                  <w:tcBorders>
                    <w:tl2br w:val="nil"/>
                    <w:tr2bl w:val="nil"/>
                  </w:tcBorders>
                  <w:vAlign w:val="center"/>
                </w:tcPr>
                <w:p w14:paraId="109DFD4D">
                  <w:pPr>
                    <w:pStyle w:val="35"/>
                    <w:spacing w:line="240" w:lineRule="auto"/>
                    <w:jc w:val="center"/>
                    <w:rPr>
                      <w:szCs w:val="21"/>
                    </w:rPr>
                  </w:pPr>
                  <w:r>
                    <w:rPr>
                      <w:rFonts w:hint="eastAsia"/>
                      <w:szCs w:val="21"/>
                    </w:rPr>
                    <w:t>80~90</w:t>
                  </w:r>
                </w:p>
              </w:tc>
            </w:tr>
            <w:tr w14:paraId="524371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022D34A8">
                  <w:pPr>
                    <w:pStyle w:val="35"/>
                    <w:spacing w:line="240" w:lineRule="auto"/>
                    <w:jc w:val="center"/>
                    <w:rPr>
                      <w:szCs w:val="21"/>
                    </w:rPr>
                  </w:pPr>
                  <w:r>
                    <w:rPr>
                      <w:rFonts w:hint="eastAsia"/>
                      <w:szCs w:val="21"/>
                    </w:rPr>
                    <w:t>雨水罐</w:t>
                  </w:r>
                </w:p>
              </w:tc>
              <w:tc>
                <w:tcPr>
                  <w:tcW w:w="2116" w:type="pct"/>
                  <w:tcBorders>
                    <w:tl2br w:val="nil"/>
                    <w:tr2bl w:val="nil"/>
                  </w:tcBorders>
                  <w:vAlign w:val="center"/>
                </w:tcPr>
                <w:p w14:paraId="1B49BB5E">
                  <w:pPr>
                    <w:pStyle w:val="35"/>
                    <w:spacing w:line="240" w:lineRule="auto"/>
                    <w:jc w:val="center"/>
                    <w:rPr>
                      <w:szCs w:val="21"/>
                    </w:rPr>
                  </w:pPr>
                  <w:r>
                    <w:rPr>
                      <w:szCs w:val="21"/>
                    </w:rPr>
                    <w:t>80</w:t>
                  </w:r>
                  <w:r>
                    <w:rPr>
                      <w:rFonts w:hint="eastAsia"/>
                      <w:szCs w:val="21"/>
                    </w:rPr>
                    <w:t>~</w:t>
                  </w:r>
                  <w:r>
                    <w:rPr>
                      <w:szCs w:val="21"/>
                    </w:rPr>
                    <w:t>90</w:t>
                  </w:r>
                </w:p>
              </w:tc>
              <w:tc>
                <w:tcPr>
                  <w:tcW w:w="1706" w:type="pct"/>
                  <w:tcBorders>
                    <w:tl2br w:val="nil"/>
                    <w:tr2bl w:val="nil"/>
                  </w:tcBorders>
                  <w:vAlign w:val="center"/>
                </w:tcPr>
                <w:p w14:paraId="76A5D0AD">
                  <w:pPr>
                    <w:pStyle w:val="35"/>
                    <w:spacing w:line="240" w:lineRule="auto"/>
                    <w:jc w:val="center"/>
                    <w:rPr>
                      <w:szCs w:val="21"/>
                    </w:rPr>
                  </w:pPr>
                  <w:r>
                    <w:rPr>
                      <w:rFonts w:hint="eastAsia"/>
                      <w:szCs w:val="21"/>
                    </w:rPr>
                    <w:t>50~7</w:t>
                  </w:r>
                  <w:r>
                    <w:rPr>
                      <w:szCs w:val="21"/>
                    </w:rPr>
                    <w:t>0</w:t>
                  </w:r>
                </w:p>
              </w:tc>
            </w:tr>
            <w:tr w14:paraId="46D23B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005DE1DA">
                  <w:pPr>
                    <w:pStyle w:val="35"/>
                    <w:spacing w:line="240" w:lineRule="auto"/>
                    <w:jc w:val="center"/>
                    <w:rPr>
                      <w:szCs w:val="21"/>
                    </w:rPr>
                  </w:pPr>
                  <w:r>
                    <w:rPr>
                      <w:szCs w:val="21"/>
                    </w:rPr>
                    <w:t>植草沟</w:t>
                  </w:r>
                </w:p>
              </w:tc>
              <w:tc>
                <w:tcPr>
                  <w:tcW w:w="2116" w:type="pct"/>
                  <w:tcBorders>
                    <w:tl2br w:val="nil"/>
                    <w:tr2bl w:val="nil"/>
                  </w:tcBorders>
                  <w:vAlign w:val="center"/>
                </w:tcPr>
                <w:p w14:paraId="2CAE23FD">
                  <w:pPr>
                    <w:pStyle w:val="35"/>
                    <w:spacing w:line="240" w:lineRule="auto"/>
                    <w:jc w:val="center"/>
                    <w:rPr>
                      <w:szCs w:val="21"/>
                    </w:rPr>
                  </w:pPr>
                  <w:r>
                    <w:rPr>
                      <w:szCs w:val="21"/>
                    </w:rPr>
                    <w:t>35</w:t>
                  </w:r>
                  <w:r>
                    <w:rPr>
                      <w:rFonts w:hint="eastAsia"/>
                      <w:szCs w:val="21"/>
                    </w:rPr>
                    <w:t>~</w:t>
                  </w:r>
                  <w:r>
                    <w:rPr>
                      <w:szCs w:val="21"/>
                    </w:rPr>
                    <w:t>90</w:t>
                  </w:r>
                </w:p>
              </w:tc>
              <w:tc>
                <w:tcPr>
                  <w:tcW w:w="1706" w:type="pct"/>
                  <w:tcBorders>
                    <w:tl2br w:val="nil"/>
                    <w:tr2bl w:val="nil"/>
                  </w:tcBorders>
                  <w:vAlign w:val="center"/>
                </w:tcPr>
                <w:p w14:paraId="2FA778CE">
                  <w:pPr>
                    <w:pStyle w:val="35"/>
                    <w:spacing w:line="240" w:lineRule="auto"/>
                    <w:jc w:val="center"/>
                    <w:rPr>
                      <w:szCs w:val="21"/>
                    </w:rPr>
                  </w:pPr>
                  <w:r>
                    <w:rPr>
                      <w:szCs w:val="21"/>
                    </w:rPr>
                    <w:t>35</w:t>
                  </w:r>
                  <w:r>
                    <w:rPr>
                      <w:rFonts w:hint="eastAsia"/>
                      <w:szCs w:val="21"/>
                    </w:rPr>
                    <w:t>~</w:t>
                  </w:r>
                  <w:r>
                    <w:rPr>
                      <w:szCs w:val="21"/>
                    </w:rPr>
                    <w:t>90</w:t>
                  </w:r>
                </w:p>
              </w:tc>
            </w:tr>
            <w:tr w14:paraId="464C54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0A34D3A4">
                  <w:pPr>
                    <w:pStyle w:val="35"/>
                    <w:spacing w:line="240" w:lineRule="auto"/>
                    <w:jc w:val="center"/>
                    <w:rPr>
                      <w:szCs w:val="21"/>
                    </w:rPr>
                  </w:pPr>
                  <w:r>
                    <w:rPr>
                      <w:szCs w:val="21"/>
                    </w:rPr>
                    <w:t>植被缓冲带</w:t>
                  </w:r>
                </w:p>
              </w:tc>
              <w:tc>
                <w:tcPr>
                  <w:tcW w:w="2116" w:type="pct"/>
                  <w:tcBorders>
                    <w:tl2br w:val="nil"/>
                    <w:tr2bl w:val="nil"/>
                  </w:tcBorders>
                  <w:vAlign w:val="center"/>
                </w:tcPr>
                <w:p w14:paraId="27A7E716">
                  <w:pPr>
                    <w:pStyle w:val="35"/>
                    <w:spacing w:line="240" w:lineRule="auto"/>
                    <w:jc w:val="center"/>
                    <w:rPr>
                      <w:szCs w:val="21"/>
                    </w:rPr>
                  </w:pPr>
                  <w:r>
                    <w:rPr>
                      <w:szCs w:val="21"/>
                    </w:rPr>
                    <w:t>50</w:t>
                  </w:r>
                  <w:r>
                    <w:rPr>
                      <w:rFonts w:hint="eastAsia"/>
                      <w:szCs w:val="21"/>
                    </w:rPr>
                    <w:t>~</w:t>
                  </w:r>
                  <w:r>
                    <w:rPr>
                      <w:szCs w:val="21"/>
                    </w:rPr>
                    <w:t>75</w:t>
                  </w:r>
                </w:p>
              </w:tc>
              <w:tc>
                <w:tcPr>
                  <w:tcW w:w="1706" w:type="pct"/>
                  <w:tcBorders>
                    <w:tl2br w:val="nil"/>
                    <w:tr2bl w:val="nil"/>
                  </w:tcBorders>
                  <w:vAlign w:val="center"/>
                </w:tcPr>
                <w:p w14:paraId="6F590CC8">
                  <w:pPr>
                    <w:pStyle w:val="35"/>
                    <w:spacing w:line="240" w:lineRule="auto"/>
                    <w:jc w:val="center"/>
                    <w:rPr>
                      <w:szCs w:val="21"/>
                    </w:rPr>
                  </w:pPr>
                  <w:r>
                    <w:rPr>
                      <w:szCs w:val="21"/>
                    </w:rPr>
                    <w:t>50</w:t>
                  </w:r>
                  <w:r>
                    <w:rPr>
                      <w:rFonts w:hint="eastAsia"/>
                      <w:szCs w:val="21"/>
                    </w:rPr>
                    <w:t>~</w:t>
                  </w:r>
                  <w:r>
                    <w:rPr>
                      <w:szCs w:val="21"/>
                    </w:rPr>
                    <w:t>75</w:t>
                  </w:r>
                </w:p>
              </w:tc>
            </w:tr>
            <w:tr w14:paraId="1B6698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7" w:type="pct"/>
                  <w:tcBorders>
                    <w:tl2br w:val="nil"/>
                    <w:tr2bl w:val="nil"/>
                  </w:tcBorders>
                  <w:vAlign w:val="center"/>
                </w:tcPr>
                <w:p w14:paraId="7940AF03">
                  <w:pPr>
                    <w:pStyle w:val="35"/>
                    <w:spacing w:line="240" w:lineRule="auto"/>
                    <w:jc w:val="center"/>
                    <w:rPr>
                      <w:szCs w:val="21"/>
                    </w:rPr>
                  </w:pPr>
                  <w:r>
                    <w:rPr>
                      <w:rFonts w:hint="eastAsia"/>
                      <w:szCs w:val="21"/>
                    </w:rPr>
                    <w:t>初期雨水弃流设施</w:t>
                  </w:r>
                </w:p>
              </w:tc>
              <w:tc>
                <w:tcPr>
                  <w:tcW w:w="2116" w:type="pct"/>
                  <w:tcBorders>
                    <w:tl2br w:val="nil"/>
                    <w:tr2bl w:val="nil"/>
                  </w:tcBorders>
                  <w:vAlign w:val="center"/>
                </w:tcPr>
                <w:p w14:paraId="41870CD0">
                  <w:pPr>
                    <w:pStyle w:val="35"/>
                    <w:spacing w:line="240" w:lineRule="auto"/>
                    <w:jc w:val="center"/>
                    <w:rPr>
                      <w:szCs w:val="21"/>
                    </w:rPr>
                  </w:pPr>
                  <w:r>
                    <w:rPr>
                      <w:rFonts w:hint="eastAsia"/>
                      <w:szCs w:val="21"/>
                    </w:rPr>
                    <w:t>4</w:t>
                  </w:r>
                  <w:r>
                    <w:rPr>
                      <w:szCs w:val="21"/>
                    </w:rPr>
                    <w:t>0</w:t>
                  </w:r>
                  <w:r>
                    <w:rPr>
                      <w:rFonts w:hint="eastAsia"/>
                      <w:szCs w:val="21"/>
                    </w:rPr>
                    <w:t>~60</w:t>
                  </w:r>
                </w:p>
              </w:tc>
              <w:tc>
                <w:tcPr>
                  <w:tcW w:w="1706" w:type="pct"/>
                  <w:tcBorders>
                    <w:tl2br w:val="nil"/>
                    <w:tr2bl w:val="nil"/>
                  </w:tcBorders>
                  <w:vAlign w:val="center"/>
                </w:tcPr>
                <w:p w14:paraId="750351D0">
                  <w:pPr>
                    <w:pStyle w:val="35"/>
                    <w:spacing w:line="240" w:lineRule="auto"/>
                    <w:jc w:val="center"/>
                    <w:rPr>
                      <w:szCs w:val="21"/>
                    </w:rPr>
                  </w:pPr>
                  <w:r>
                    <w:rPr>
                      <w:rFonts w:hint="eastAsia"/>
                      <w:szCs w:val="21"/>
                    </w:rPr>
                    <w:t>40~60</w:t>
                  </w:r>
                </w:p>
              </w:tc>
            </w:tr>
          </w:tbl>
          <w:p w14:paraId="4A0808A3">
            <w:pPr>
              <w:pStyle w:val="35"/>
              <w:tabs>
                <w:tab w:val="left" w:pos="0"/>
              </w:tabs>
              <w:spacing w:line="240" w:lineRule="auto"/>
              <w:rPr>
                <w:sz w:val="18"/>
                <w:szCs w:val="18"/>
              </w:rPr>
            </w:pPr>
            <w:r>
              <w:rPr>
                <w:rFonts w:hint="eastAsia"/>
                <w:sz w:val="18"/>
                <w:szCs w:val="18"/>
              </w:rPr>
              <w:t>注：</w:t>
            </w:r>
            <w:r>
              <w:rPr>
                <w:sz w:val="18"/>
                <w:szCs w:val="18"/>
              </w:rPr>
              <w:t xml:space="preserve">1 </w:t>
            </w:r>
            <w:r>
              <w:rPr>
                <w:rFonts w:hint="eastAsia"/>
                <w:sz w:val="18"/>
                <w:szCs w:val="18"/>
              </w:rPr>
              <w:t>若单位面积的海绵城市设施的汇水区较大，径流污染去除率宜取低值。</w:t>
            </w:r>
          </w:p>
          <w:p w14:paraId="3140302E">
            <w:pPr>
              <w:pStyle w:val="35"/>
              <w:tabs>
                <w:tab w:val="left" w:pos="0"/>
              </w:tabs>
              <w:spacing w:line="240" w:lineRule="auto"/>
              <w:ind w:firstLine="360" w:firstLineChars="200"/>
              <w:rPr>
                <w:rFonts w:hint="eastAsia" w:eastAsia="宋体"/>
                <w:sz w:val="18"/>
                <w:szCs w:val="18"/>
                <w:lang w:eastAsia="zh-CN"/>
              </w:rPr>
            </w:pPr>
            <w:r>
              <w:rPr>
                <w:sz w:val="18"/>
                <w:szCs w:val="18"/>
              </w:rPr>
              <w:t xml:space="preserve">2 </w:t>
            </w:r>
            <w:r>
              <w:rPr>
                <w:rFonts w:hint="eastAsia"/>
                <w:sz w:val="18"/>
                <w:szCs w:val="18"/>
              </w:rPr>
              <w:t>转输型植草沟的径流污染去除率宜取低值，转输兼入渗性植草沟的径流污染控制率可取高值</w:t>
            </w:r>
            <w:r>
              <w:rPr>
                <w:rFonts w:hint="eastAsia"/>
                <w:sz w:val="18"/>
                <w:szCs w:val="18"/>
                <w:lang w:eastAsia="zh-CN"/>
              </w:rPr>
              <w:t>。</w:t>
            </w:r>
          </w:p>
          <w:p w14:paraId="327992BD">
            <w:pPr>
              <w:pStyle w:val="35"/>
              <w:tabs>
                <w:tab w:val="left" w:pos="0"/>
              </w:tabs>
              <w:rPr>
                <w:rFonts w:hint="eastAsia" w:cstheme="minorEastAsia"/>
                <w:bCs/>
                <w:szCs w:val="21"/>
              </w:rPr>
            </w:pPr>
          </w:p>
          <w:p w14:paraId="3B89093A">
            <w:pPr>
              <w:pStyle w:val="35"/>
              <w:tabs>
                <w:tab w:val="left" w:pos="0"/>
              </w:tabs>
              <w:rPr>
                <w:rFonts w:cstheme="minorEastAsia"/>
                <w:bCs/>
                <w:szCs w:val="21"/>
              </w:rPr>
            </w:pPr>
            <w:r>
              <w:rPr>
                <w:rFonts w:hint="eastAsia" w:cstheme="minorEastAsia"/>
                <w:bCs/>
                <w:szCs w:val="21"/>
              </w:rPr>
              <w:t xml:space="preserve">6.2.5 径流峰值控制的调蓄量应符合下列规定： </w:t>
            </w:r>
          </w:p>
          <w:p w14:paraId="1333C9EB">
            <w:pPr>
              <w:pStyle w:val="35"/>
              <w:tabs>
                <w:tab w:val="left" w:pos="0"/>
              </w:tabs>
              <w:ind w:firstLine="420" w:firstLineChars="200"/>
              <w:rPr>
                <w:rFonts w:cstheme="minorEastAsia"/>
                <w:bCs/>
                <w:szCs w:val="21"/>
              </w:rPr>
            </w:pPr>
            <w:r>
              <w:rPr>
                <w:rFonts w:hint="eastAsia" w:cstheme="minorEastAsia"/>
                <w:bCs/>
                <w:szCs w:val="21"/>
              </w:rPr>
              <w:t>1 根据调蓄设施上下游设计流量，调蓄量可按下式计算，并宜采用模型进行校核：</w:t>
            </w:r>
          </w:p>
          <w:p w14:paraId="44D5F9AA">
            <w:pPr>
              <w:pStyle w:val="35"/>
              <w:tabs>
                <w:tab w:val="left" w:pos="0"/>
              </w:tabs>
              <w:rPr>
                <w:rFonts w:eastAsiaTheme="minorEastAsia" w:cstheme="minorEastAsia"/>
                <w:bCs/>
                <w:i/>
                <w:sz w:val="20"/>
                <w:szCs w:val="20"/>
              </w:rPr>
            </w:pPr>
            <m:oMathPara>
              <m:oMathParaPr>
                <m:jc m:val="center"/>
              </m:oMathParaPr>
              <m:oMath>
                <m:r>
                  <m:rPr/>
                  <w:rPr>
                    <w:rFonts w:ascii="Cambria Math" w:hAnsi="Cambria Math" w:eastAsia="Cambria Math" w:cs="Cambria Math"/>
                    <w:sz w:val="20"/>
                    <w:szCs w:val="20"/>
                  </w:rPr>
                  <m:t>V</m:t>
                </m:r>
                <m:r>
                  <m:rPr>
                    <m:sty m:val="p"/>
                  </m:rPr>
                  <w:rPr>
                    <w:rFonts w:ascii="Cambria Math" w:hAnsi="Cambria Math" w:eastAsia="Cambria Math" w:cs="Cambria Math"/>
                    <w:sz w:val="20"/>
                    <w:szCs w:val="20"/>
                  </w:rPr>
                  <m:t>=6</m:t>
                </m:r>
                <m:r>
                  <m:rPr>
                    <m:sty m:val="p"/>
                  </m:rPr>
                  <w:rPr>
                    <w:rFonts w:ascii="Cambria Math" w:hAnsi="Cambria Math" w:cs="Cambria Math" w:eastAsiaTheme="minorEastAsia"/>
                    <w:sz w:val="20"/>
                    <w:szCs w:val="20"/>
                  </w:rPr>
                  <m:t>0</m:t>
                </m:r>
                <m:d>
                  <m:dPr>
                    <m:begChr m:val="["/>
                    <m:endChr m:val="]"/>
                    <m:ctrlPr>
                      <w:rPr>
                        <w:rFonts w:ascii="Cambria Math" w:hAnsi="Cambria Math" w:eastAsiaTheme="minorEastAsia" w:cstheme="minorEastAsia"/>
                        <w:bCs/>
                        <w:i/>
                        <w:sz w:val="20"/>
                        <w:szCs w:val="20"/>
                      </w:rPr>
                    </m:ctrlPr>
                  </m:dPr>
                  <m:e>
                    <m:r>
                      <m:rPr>
                        <m:sty m:val="p"/>
                      </m:rPr>
                      <w:rPr>
                        <w:rFonts w:ascii="Cambria Math" w:hAnsi="Cambria Math" w:cs="Cambria Math" w:eastAsiaTheme="minorEastAsia"/>
                        <w:sz w:val="20"/>
                        <w:szCs w:val="20"/>
                      </w:rPr>
                      <m:t>−</m:t>
                    </m:r>
                    <m:d>
                      <m:dPr>
                        <m:ctrlPr>
                          <w:rPr>
                            <w:rFonts w:ascii="Cambria Math" w:hAnsi="Cambria Math" w:cs="Cambria Math" w:eastAsiaTheme="minorEastAsia"/>
                            <w:bCs/>
                            <w:sz w:val="20"/>
                            <w:szCs w:val="20"/>
                          </w:rPr>
                        </m:ctrlPr>
                      </m:dPr>
                      <m:e>
                        <m:f>
                          <m:fPr>
                            <m:ctrlPr>
                              <w:rPr>
                                <w:rFonts w:ascii="Cambria Math" w:hAnsi="Cambria Math" w:eastAsia="Cambria Math" w:cstheme="minorEastAsia"/>
                                <w:bCs/>
                                <w:sz w:val="20"/>
                                <w:szCs w:val="20"/>
                              </w:rPr>
                            </m:ctrlPr>
                          </m:fPr>
                          <m:num>
                            <m:r>
                              <m:rPr>
                                <m:sty m:val="p"/>
                              </m:rPr>
                              <w:rPr>
                                <w:rFonts w:ascii="Cambria Math" w:hAnsi="Cambria Math" w:eastAsia="Cambria Math" w:cs="Cambria Math"/>
                                <w:sz w:val="20"/>
                                <w:szCs w:val="20"/>
                              </w:rPr>
                              <m:t>0</m:t>
                            </m:r>
                            <m:r>
                              <m:rPr/>
                              <w:rPr>
                                <w:rFonts w:ascii="Cambria Math" w:hAnsi="Cambria Math" w:cs="Cambria Math" w:eastAsiaTheme="minorEastAsia"/>
                                <w:sz w:val="20"/>
                                <w:szCs w:val="20"/>
                              </w:rPr>
                              <m:t>.65</m:t>
                            </m:r>
                            <m:ctrlPr>
                              <w:rPr>
                                <w:rFonts w:ascii="Cambria Math" w:hAnsi="Cambria Math" w:eastAsia="Cambria Math" w:cstheme="minorEastAsia"/>
                                <w:bCs/>
                                <w:sz w:val="20"/>
                                <w:szCs w:val="20"/>
                              </w:rPr>
                            </m:ctrlPr>
                          </m:num>
                          <m:den>
                            <m:sSup>
                              <m:sSupPr>
                                <m:ctrlPr>
                                  <w:rPr>
                                    <w:rFonts w:ascii="Cambria Math" w:hAnsi="Cambria Math" w:eastAsia="Cambria Math" w:cstheme="minorEastAsia"/>
                                    <w:bCs/>
                                    <w:i/>
                                    <w:sz w:val="20"/>
                                    <w:szCs w:val="20"/>
                                  </w:rPr>
                                </m:ctrlPr>
                              </m:sSupPr>
                              <m:e>
                                <m:r>
                                  <m:rPr/>
                                  <w:rPr>
                                    <w:rFonts w:ascii="Cambria Math" w:hAnsi="Cambria Math" w:eastAsia="Cambria Math" w:cstheme="minorEastAsia"/>
                                    <w:sz w:val="20"/>
                                    <w:szCs w:val="20"/>
                                  </w:rPr>
                                  <m:t>n</m:t>
                                </m:r>
                                <m:ctrlPr>
                                  <w:rPr>
                                    <w:rFonts w:ascii="Cambria Math" w:hAnsi="Cambria Math" w:eastAsia="Cambria Math" w:cstheme="minorEastAsia"/>
                                    <w:bCs/>
                                    <w:i/>
                                    <w:sz w:val="20"/>
                                    <w:szCs w:val="20"/>
                                  </w:rPr>
                                </m:ctrlPr>
                              </m:e>
                              <m:sup>
                                <m:r>
                                  <m:rPr/>
                                  <w:rPr>
                                    <w:rFonts w:ascii="Cambria Math" w:hAnsi="Cambria Math" w:eastAsia="Cambria Math" w:cstheme="minorEastAsia"/>
                                    <w:sz w:val="20"/>
                                    <w:szCs w:val="20"/>
                                  </w:rPr>
                                  <m:t>1</m:t>
                                </m:r>
                                <m:r>
                                  <m:rPr/>
                                  <w:rPr>
                                    <w:rFonts w:ascii="Cambria Math" w:hAnsi="Cambria Math" w:eastAsiaTheme="minorEastAsia" w:cstheme="minorEastAsia"/>
                                    <w:sz w:val="20"/>
                                    <w:szCs w:val="20"/>
                                  </w:rPr>
                                  <m:t>.2</m:t>
                                </m:r>
                                <m:ctrlPr>
                                  <w:rPr>
                                    <w:rFonts w:ascii="Cambria Math" w:hAnsi="Cambria Math" w:eastAsia="Cambria Math" w:cstheme="minorEastAsia"/>
                                    <w:bCs/>
                                    <w:i/>
                                    <w:sz w:val="20"/>
                                    <w:szCs w:val="20"/>
                                  </w:rPr>
                                </m:ctrlPr>
                              </m:sup>
                            </m:sSup>
                            <m:ctrlPr>
                              <w:rPr>
                                <w:rFonts w:ascii="Cambria Math" w:hAnsi="Cambria Math" w:eastAsia="Cambria Math" w:cstheme="minorEastAsia"/>
                                <w:bCs/>
                                <w:sz w:val="20"/>
                                <w:szCs w:val="20"/>
                              </w:rPr>
                            </m:ctrlPr>
                          </m:den>
                        </m:f>
                        <m:r>
                          <m:rPr/>
                          <w:rPr>
                            <w:rFonts w:ascii="Cambria Math" w:hAnsi="Cambria Math" w:eastAsia="Cambria Math" w:cstheme="minorEastAsia"/>
                            <w:sz w:val="20"/>
                            <w:szCs w:val="20"/>
                          </w:rPr>
                          <m:t>+</m:t>
                        </m:r>
                        <m:f>
                          <m:fPr>
                            <m:ctrlPr>
                              <w:rPr>
                                <w:rFonts w:ascii="Cambria Math" w:hAnsi="Cambria Math" w:eastAsia="Cambria Math" w:cstheme="minorEastAsia"/>
                                <w:bCs/>
                                <w:sz w:val="20"/>
                                <w:szCs w:val="20"/>
                              </w:rPr>
                            </m:ctrlPr>
                          </m:fPr>
                          <m:num>
                            <m:r>
                              <m:rPr>
                                <m:sty m:val="p"/>
                              </m:rPr>
                              <w:rPr>
                                <w:rFonts w:ascii="Cambria Math" w:hAnsi="Cambria Math" w:eastAsia="Cambria Math" w:cs="Cambria Math"/>
                                <w:sz w:val="20"/>
                                <w:szCs w:val="20"/>
                              </w:rPr>
                              <m:t>b</m:t>
                            </m:r>
                            <m:ctrlPr>
                              <w:rPr>
                                <w:rFonts w:ascii="Cambria Math" w:hAnsi="Cambria Math" w:eastAsia="Cambria Math" w:cstheme="minorEastAsia"/>
                                <w:bCs/>
                                <w:sz w:val="20"/>
                                <w:szCs w:val="20"/>
                              </w:rPr>
                            </m:ctrlPr>
                          </m:num>
                          <m:den>
                            <m:r>
                              <m:rPr/>
                              <w:rPr>
                                <w:rFonts w:ascii="Cambria Math" w:hAnsi="Cambria Math" w:eastAsia="Cambria Math" w:cstheme="minorEastAsia"/>
                                <w:sz w:val="20"/>
                                <w:szCs w:val="20"/>
                              </w:rPr>
                              <m:t>t</m:t>
                            </m:r>
                            <m:ctrlPr>
                              <w:rPr>
                                <w:rFonts w:ascii="Cambria Math" w:hAnsi="Cambria Math" w:eastAsia="Cambria Math" w:cstheme="minorEastAsia"/>
                                <w:bCs/>
                                <w:sz w:val="20"/>
                                <w:szCs w:val="20"/>
                              </w:rPr>
                            </m:ctrlPr>
                          </m:den>
                        </m:f>
                        <m:r>
                          <m:rPr/>
                          <w:rPr>
                            <w:rFonts w:ascii="Cambria Math" w:hAnsi="Cambria Math" w:eastAsia="Cambria Math" w:cstheme="minorEastAsia"/>
                            <w:sz w:val="20"/>
                            <w:szCs w:val="20"/>
                          </w:rPr>
                          <m:t>∙</m:t>
                        </m:r>
                        <m:f>
                          <m:fPr>
                            <m:ctrlPr>
                              <w:rPr>
                                <w:rFonts w:ascii="Cambria Math" w:hAnsi="Cambria Math" w:eastAsia="Cambria Math" w:cstheme="minorEastAsia"/>
                                <w:bCs/>
                                <w:sz w:val="20"/>
                                <w:szCs w:val="20"/>
                              </w:rPr>
                            </m:ctrlPr>
                          </m:fPr>
                          <m:num>
                            <m:r>
                              <m:rPr/>
                              <w:rPr>
                                <w:rFonts w:ascii="Cambria Math" w:hAnsi="Cambria Math" w:eastAsia="Cambria Math" w:cstheme="minorEastAsia"/>
                                <w:sz w:val="20"/>
                                <w:szCs w:val="20"/>
                              </w:rPr>
                              <m:t>0</m:t>
                            </m:r>
                            <m:r>
                              <m:rPr/>
                              <w:rPr>
                                <w:rFonts w:ascii="Cambria Math" w:hAnsi="Cambria Math" w:eastAsiaTheme="minorEastAsia" w:cstheme="minorEastAsia"/>
                                <w:sz w:val="20"/>
                                <w:szCs w:val="20"/>
                              </w:rPr>
                              <m:t>.5</m:t>
                            </m:r>
                            <m:ctrlPr>
                              <w:rPr>
                                <w:rFonts w:ascii="Cambria Math" w:hAnsi="Cambria Math" w:eastAsia="Cambria Math" w:cstheme="minorEastAsia"/>
                                <w:bCs/>
                                <w:sz w:val="20"/>
                                <w:szCs w:val="20"/>
                              </w:rPr>
                            </m:ctrlPr>
                          </m:num>
                          <m:den>
                            <m:r>
                              <m:rPr/>
                              <w:rPr>
                                <w:rFonts w:ascii="Cambria Math" w:hAnsi="Cambria Math" w:eastAsia="Cambria Math" w:cstheme="minorEastAsia"/>
                                <w:sz w:val="20"/>
                                <w:szCs w:val="20"/>
                              </w:rPr>
                              <m:t>n</m:t>
                            </m:r>
                            <m:r>
                              <m:rPr/>
                              <w:rPr>
                                <w:rFonts w:ascii="Cambria Math" w:hAnsi="Cambria Math" w:eastAsiaTheme="minorEastAsia" w:cstheme="minorEastAsia"/>
                                <w:sz w:val="20"/>
                                <w:szCs w:val="20"/>
                              </w:rPr>
                              <m:t>+0.2</m:t>
                            </m:r>
                            <m:ctrlPr>
                              <w:rPr>
                                <w:rFonts w:ascii="Cambria Math" w:hAnsi="Cambria Math" w:eastAsia="Cambria Math" w:cstheme="minorEastAsia"/>
                                <w:bCs/>
                                <w:sz w:val="20"/>
                                <w:szCs w:val="20"/>
                              </w:rPr>
                            </m:ctrlPr>
                          </m:den>
                        </m:f>
                        <m:r>
                          <m:rPr/>
                          <w:rPr>
                            <w:rFonts w:ascii="Cambria Math" w:hAnsi="Cambria Math" w:eastAsia="Cambria Math" w:cstheme="minorEastAsia"/>
                            <w:sz w:val="20"/>
                            <w:szCs w:val="20"/>
                          </w:rPr>
                          <m:t>+</m:t>
                        </m:r>
                        <m:r>
                          <m:rPr/>
                          <w:rPr>
                            <w:rFonts w:ascii="Cambria Math" w:hAnsi="Cambria Math" w:eastAsiaTheme="minorEastAsia" w:cstheme="minorEastAsia"/>
                            <w:sz w:val="20"/>
                            <w:szCs w:val="20"/>
                          </w:rPr>
                          <m:t>1.10</m:t>
                        </m:r>
                        <m:ctrlPr>
                          <w:rPr>
                            <w:rFonts w:ascii="Cambria Math" w:hAnsi="Cambria Math" w:cs="Cambria Math" w:eastAsiaTheme="minorEastAsia"/>
                            <w:bCs/>
                            <w:sz w:val="20"/>
                            <w:szCs w:val="20"/>
                          </w:rPr>
                        </m:ctrlPr>
                      </m:e>
                    </m:d>
                    <m:r>
                      <m:rPr/>
                      <w:rPr>
                        <w:rFonts w:ascii="Cambria Math" w:hAnsi="Cambria Math" w:cs="Cambria Math" w:eastAsiaTheme="minorEastAsia"/>
                        <w:sz w:val="20"/>
                        <w:szCs w:val="20"/>
                      </w:rPr>
                      <m:t>∙</m:t>
                    </m:r>
                    <m:func>
                      <m:funcPr>
                        <m:ctrlPr>
                          <w:rPr>
                            <w:rFonts w:ascii="Cambria Math" w:hAnsi="Cambria Math" w:cs="Cambria Math" w:eastAsiaTheme="minorEastAsia"/>
                            <w:bCs/>
                            <w:sz w:val="20"/>
                            <w:szCs w:val="20"/>
                          </w:rPr>
                        </m:ctrlPr>
                      </m:funcPr>
                      <m:fName>
                        <m:r>
                          <m:rPr>
                            <m:sty m:val="p"/>
                          </m:rPr>
                          <w:rPr>
                            <w:rFonts w:ascii="Cambria Math" w:hAnsi="Cambria Math" w:cs="Cambria Math" w:eastAsiaTheme="minorEastAsia"/>
                            <w:sz w:val="20"/>
                            <w:szCs w:val="20"/>
                          </w:rPr>
                          <m:t>lg</m:t>
                        </m:r>
                        <m:ctrlPr>
                          <w:rPr>
                            <w:rFonts w:ascii="Cambria Math" w:hAnsi="Cambria Math" w:cs="Cambria Math" w:eastAsiaTheme="minorEastAsia"/>
                            <w:bCs/>
                            <w:i/>
                            <w:sz w:val="20"/>
                            <w:szCs w:val="20"/>
                          </w:rPr>
                        </m:ctrlPr>
                      </m:fName>
                      <m:e>
                        <m:d>
                          <m:dPr>
                            <m:ctrlPr>
                              <w:rPr>
                                <w:rFonts w:ascii="Cambria Math" w:hAnsi="Cambria Math" w:cs="Cambria Math" w:eastAsiaTheme="minorEastAsia"/>
                                <w:bCs/>
                                <w:sz w:val="20"/>
                                <w:szCs w:val="20"/>
                              </w:rPr>
                            </m:ctrlPr>
                          </m:dPr>
                          <m:e>
                            <m:r>
                              <m:rPr>
                                <m:sty m:val="p"/>
                              </m:rPr>
                              <w:rPr>
                                <w:rFonts w:ascii="Cambria Math" w:hAnsi="Cambria Math" w:cs="Cambria Math" w:eastAsiaTheme="minorEastAsia"/>
                                <w:sz w:val="20"/>
                                <w:szCs w:val="20"/>
                              </w:rPr>
                              <m:t>α+0.3</m:t>
                            </m:r>
                            <m:ctrlPr>
                              <w:rPr>
                                <w:rFonts w:ascii="Cambria Math" w:hAnsi="Cambria Math" w:cs="Cambria Math" w:eastAsiaTheme="minorEastAsia"/>
                                <w:bCs/>
                                <w:sz w:val="20"/>
                                <w:szCs w:val="20"/>
                              </w:rPr>
                            </m:ctrlPr>
                          </m:e>
                        </m:d>
                        <m:ctrlPr>
                          <w:rPr>
                            <w:rFonts w:ascii="Cambria Math" w:hAnsi="Cambria Math" w:cs="Cambria Math" w:eastAsiaTheme="minorEastAsia"/>
                            <w:bCs/>
                            <w:sz w:val="20"/>
                            <w:szCs w:val="20"/>
                          </w:rPr>
                        </m:ctrlPr>
                      </m:e>
                    </m:func>
                    <m:r>
                      <m:rPr>
                        <m:sty m:val="p"/>
                      </m:rPr>
                      <w:rPr>
                        <w:rFonts w:ascii="Cambria Math" w:hAnsi="Cambria Math" w:cs="Cambria Math" w:eastAsiaTheme="minorEastAsia"/>
                        <w:sz w:val="20"/>
                        <w:szCs w:val="20"/>
                      </w:rPr>
                      <m:t>+</m:t>
                    </m:r>
                    <m:f>
                      <m:fPr>
                        <m:ctrlPr>
                          <w:rPr>
                            <w:rFonts w:ascii="Cambria Math" w:hAnsi="Cambria Math" w:eastAsia="Cambria Math" w:cstheme="minorEastAsia"/>
                            <w:bCs/>
                            <w:sz w:val="20"/>
                            <w:szCs w:val="20"/>
                          </w:rPr>
                        </m:ctrlPr>
                      </m:fPr>
                      <m:num>
                        <m:r>
                          <m:rPr>
                            <m:sty m:val="p"/>
                          </m:rPr>
                          <w:rPr>
                            <w:rFonts w:ascii="Cambria Math" w:hAnsi="Cambria Math" w:eastAsia="Cambria Math" w:cs="Cambria Math"/>
                            <w:sz w:val="20"/>
                            <w:szCs w:val="20"/>
                          </w:rPr>
                          <m:t>0</m:t>
                        </m:r>
                        <m:r>
                          <m:rPr/>
                          <w:rPr>
                            <w:rFonts w:ascii="Cambria Math" w:hAnsi="Cambria Math" w:cs="Cambria Math" w:eastAsiaTheme="minorEastAsia"/>
                            <w:sz w:val="20"/>
                            <w:szCs w:val="20"/>
                          </w:rPr>
                          <m:t>.215</m:t>
                        </m:r>
                        <m:ctrlPr>
                          <w:rPr>
                            <w:rFonts w:ascii="Cambria Math" w:hAnsi="Cambria Math" w:eastAsia="Cambria Math" w:cstheme="minorEastAsia"/>
                            <w:bCs/>
                            <w:sz w:val="20"/>
                            <w:szCs w:val="20"/>
                          </w:rPr>
                        </m:ctrlPr>
                      </m:num>
                      <m:den>
                        <m:sSup>
                          <m:sSupPr>
                            <m:ctrlPr>
                              <w:rPr>
                                <w:rFonts w:ascii="Cambria Math" w:hAnsi="Cambria Math" w:eastAsia="Cambria Math" w:cstheme="minorEastAsia"/>
                                <w:bCs/>
                                <w:i/>
                                <w:sz w:val="20"/>
                                <w:szCs w:val="20"/>
                              </w:rPr>
                            </m:ctrlPr>
                          </m:sSupPr>
                          <m:e>
                            <m:r>
                              <m:rPr/>
                              <w:rPr>
                                <w:rFonts w:ascii="Cambria Math" w:hAnsi="Cambria Math" w:eastAsia="Cambria Math" w:cstheme="minorEastAsia"/>
                                <w:sz w:val="20"/>
                                <w:szCs w:val="20"/>
                              </w:rPr>
                              <m:t>n</m:t>
                            </m:r>
                            <m:ctrlPr>
                              <w:rPr>
                                <w:rFonts w:ascii="Cambria Math" w:hAnsi="Cambria Math" w:eastAsia="Cambria Math" w:cstheme="minorEastAsia"/>
                                <w:bCs/>
                                <w:i/>
                                <w:sz w:val="20"/>
                                <w:szCs w:val="20"/>
                              </w:rPr>
                            </m:ctrlPr>
                          </m:e>
                          <m:sup>
                            <m:r>
                              <m:rPr/>
                              <w:rPr>
                                <w:rFonts w:ascii="Cambria Math" w:hAnsi="Cambria Math" w:eastAsia="Cambria Math" w:cstheme="minorEastAsia"/>
                                <w:sz w:val="20"/>
                                <w:szCs w:val="20"/>
                              </w:rPr>
                              <m:t>0</m:t>
                            </m:r>
                            <m:r>
                              <m:rPr/>
                              <w:rPr>
                                <w:rFonts w:ascii="Cambria Math" w:hAnsi="Cambria Math" w:eastAsiaTheme="minorEastAsia" w:cstheme="minorEastAsia"/>
                                <w:sz w:val="20"/>
                                <w:szCs w:val="20"/>
                              </w:rPr>
                              <m:t>.15</m:t>
                            </m:r>
                            <m:ctrlPr>
                              <w:rPr>
                                <w:rFonts w:ascii="Cambria Math" w:hAnsi="Cambria Math" w:eastAsia="Cambria Math" w:cstheme="minorEastAsia"/>
                                <w:bCs/>
                                <w:i/>
                                <w:sz w:val="20"/>
                                <w:szCs w:val="20"/>
                              </w:rPr>
                            </m:ctrlPr>
                          </m:sup>
                        </m:sSup>
                        <m:ctrlPr>
                          <w:rPr>
                            <w:rFonts w:ascii="Cambria Math" w:hAnsi="Cambria Math" w:eastAsia="Cambria Math" w:cstheme="minorEastAsia"/>
                            <w:bCs/>
                            <w:sz w:val="20"/>
                            <w:szCs w:val="20"/>
                          </w:rPr>
                        </m:ctrlPr>
                      </m:den>
                    </m:f>
                    <m:ctrlPr>
                      <w:rPr>
                        <w:rFonts w:ascii="Cambria Math" w:hAnsi="Cambria Math" w:eastAsiaTheme="minorEastAsia" w:cstheme="minorEastAsia"/>
                        <w:bCs/>
                        <w:i/>
                        <w:sz w:val="20"/>
                        <w:szCs w:val="20"/>
                      </w:rPr>
                    </m:ctrlPr>
                  </m:e>
                </m:d>
                <m:r>
                  <m:rPr/>
                  <w:rPr>
                    <w:rFonts w:ascii="Cambria Math" w:hAnsi="Cambria Math" w:eastAsiaTheme="minorEastAsia" w:cstheme="minorEastAsia"/>
                    <w:sz w:val="20"/>
                    <w:szCs w:val="20"/>
                  </w:rPr>
                  <m:t>∙</m:t>
                </m:r>
                <m:sSub>
                  <m:sSubPr>
                    <m:ctrlPr>
                      <w:rPr>
                        <w:rFonts w:ascii="Cambria Math" w:hAnsi="Cambria Math" w:eastAsiaTheme="minorEastAsia" w:cstheme="minorEastAsia"/>
                        <w:bCs/>
                        <w:i/>
                        <w:sz w:val="20"/>
                        <w:szCs w:val="20"/>
                      </w:rPr>
                    </m:ctrlPr>
                  </m:sSubPr>
                  <m:e>
                    <m:r>
                      <m:rPr/>
                      <w:rPr>
                        <w:rFonts w:ascii="Cambria Math" w:hAnsi="Cambria Math" w:eastAsiaTheme="minorEastAsia" w:cstheme="minorEastAsia"/>
                        <w:sz w:val="20"/>
                        <w:szCs w:val="20"/>
                      </w:rPr>
                      <m:t>Q</m:t>
                    </m:r>
                    <m:ctrlPr>
                      <w:rPr>
                        <w:rFonts w:ascii="Cambria Math" w:hAnsi="Cambria Math" w:eastAsiaTheme="minorEastAsia" w:cstheme="minorEastAsia"/>
                        <w:bCs/>
                        <w:i/>
                        <w:sz w:val="20"/>
                        <w:szCs w:val="20"/>
                      </w:rPr>
                    </m:ctrlPr>
                  </m:e>
                  <m:sub>
                    <m:r>
                      <m:rPr/>
                      <w:rPr>
                        <w:rFonts w:ascii="Cambria Math" w:hAnsi="Cambria Math" w:eastAsiaTheme="minorEastAsia" w:cstheme="minorEastAsia"/>
                        <w:sz w:val="20"/>
                        <w:szCs w:val="20"/>
                      </w:rPr>
                      <m:t>i</m:t>
                    </m:r>
                    <m:ctrlPr>
                      <w:rPr>
                        <w:rFonts w:ascii="Cambria Math" w:hAnsi="Cambria Math" w:eastAsiaTheme="minorEastAsia" w:cstheme="minorEastAsia"/>
                        <w:bCs/>
                        <w:i/>
                        <w:sz w:val="20"/>
                        <w:szCs w:val="20"/>
                      </w:rPr>
                    </m:ctrlPr>
                  </m:sub>
                </m:sSub>
                <m:r>
                  <m:rPr/>
                  <w:rPr>
                    <w:rFonts w:ascii="Cambria Math" w:hAnsi="Cambria Math" w:eastAsiaTheme="minorEastAsia" w:cstheme="minorEastAsia"/>
                    <w:sz w:val="20"/>
                    <w:szCs w:val="20"/>
                  </w:rPr>
                  <m:t>t</m:t>
                </m:r>
              </m:oMath>
            </m:oMathPara>
          </w:p>
          <w:p w14:paraId="5FD7B890">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V</m:t>
              </m:r>
            </m:oMath>
            <w:r>
              <w:rPr>
                <w:rFonts w:hint="eastAsia" w:cstheme="minorEastAsia"/>
                <w:bCs/>
                <w:szCs w:val="21"/>
              </w:rPr>
              <w:t>——调蓄量（m</w:t>
            </w:r>
            <w:r>
              <w:rPr>
                <w:rFonts w:hint="eastAsia" w:cstheme="minorEastAsia"/>
                <w:bCs/>
                <w:szCs w:val="21"/>
                <w:vertAlign w:val="superscript"/>
              </w:rPr>
              <w:t>3</w:t>
            </w:r>
            <w:r>
              <w:rPr>
                <w:rFonts w:hint="eastAsia" w:cstheme="minorEastAsia"/>
                <w:bCs/>
                <w:szCs w:val="21"/>
              </w:rPr>
              <w:t>）；</w:t>
            </w:r>
          </w:p>
          <w:p w14:paraId="71D042ED">
            <w:pPr>
              <w:pStyle w:val="35"/>
              <w:tabs>
                <w:tab w:val="left" w:pos="0"/>
              </w:tabs>
              <w:ind w:left="210" w:leftChars="100" w:firstLine="420" w:firstLineChars="200"/>
              <w:rPr>
                <w:rFonts w:cstheme="minorEastAsia"/>
                <w:bCs/>
                <w:szCs w:val="21"/>
              </w:rPr>
            </w:pPr>
            <w:r>
              <w:rPr>
                <w:rFonts w:hint="eastAsia" w:cstheme="minorEastAsia"/>
                <w:bCs/>
                <w:szCs w:val="21"/>
              </w:rPr>
              <w:t>b，n——上海市暴雨强度公式参数，b取值为7.0，n取值为0.656；</w:t>
            </w:r>
          </w:p>
          <w:p w14:paraId="5DA47D66">
            <w:pPr>
              <w:pStyle w:val="35"/>
              <w:tabs>
                <w:tab w:val="left" w:pos="0"/>
              </w:tabs>
              <w:ind w:left="210" w:leftChars="100" w:firstLine="420" w:firstLineChars="200"/>
              <w:rPr>
                <w:rFonts w:cstheme="minorEastAsia"/>
                <w:bCs/>
                <w:szCs w:val="21"/>
              </w:rPr>
            </w:pPr>
            <m:oMath>
              <m:r>
                <m:rPr/>
                <w:rPr>
                  <w:rFonts w:ascii="Cambria Math" w:hAnsi="Cambria Math" w:cs="宋体"/>
                  <w:szCs w:val="21"/>
                </w:rPr>
                <m:t>α</m:t>
              </m:r>
            </m:oMath>
            <w:r>
              <w:rPr>
                <w:rFonts w:hint="eastAsia" w:cstheme="minorEastAsia"/>
                <w:bCs/>
                <w:szCs w:val="21"/>
              </w:rPr>
              <w:t>——脱过系数，取值为调蓄设施下游和上游设计流量之比；</w:t>
            </w:r>
          </w:p>
          <w:p w14:paraId="0A6BA346">
            <w:pPr>
              <w:pStyle w:val="35"/>
              <w:tabs>
                <w:tab w:val="left" w:pos="0"/>
              </w:tabs>
              <w:ind w:left="210" w:leftChars="100" w:firstLine="420" w:firstLineChars="2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Q</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oMath>
            <w:r>
              <w:rPr>
                <w:rFonts w:hint="eastAsia" w:cstheme="minorEastAsia"/>
                <w:szCs w:val="21"/>
              </w:rPr>
              <w:t>——</w:t>
            </w:r>
            <w:r>
              <w:rPr>
                <w:rFonts w:hint="eastAsia" w:cstheme="minorEastAsia"/>
                <w:bCs/>
                <w:szCs w:val="21"/>
              </w:rPr>
              <w:t>调蓄设施上游设计流量（m</w:t>
            </w:r>
            <w:r>
              <w:rPr>
                <w:rFonts w:cstheme="minorEastAsia"/>
                <w:bCs/>
                <w:szCs w:val="21"/>
                <w:vertAlign w:val="superscript"/>
              </w:rPr>
              <w:t>3</w:t>
            </w:r>
            <w:r>
              <w:rPr>
                <w:rFonts w:hint="eastAsia" w:cstheme="minorEastAsia"/>
                <w:bCs/>
                <w:szCs w:val="21"/>
              </w:rPr>
              <w:t>/s）；</w:t>
            </w:r>
          </w:p>
          <w:p w14:paraId="5E637983">
            <w:pPr>
              <w:pStyle w:val="35"/>
              <w:tabs>
                <w:tab w:val="left" w:pos="0"/>
              </w:tabs>
              <w:ind w:left="210" w:leftChars="100" w:firstLine="420" w:firstLineChars="200"/>
              <w:rPr>
                <w:rFonts w:cstheme="minorEastAsia"/>
                <w:bCs/>
                <w:szCs w:val="21"/>
              </w:rPr>
            </w:pPr>
            <m:oMath>
              <m:r>
                <m:rPr/>
                <w:rPr>
                  <w:rFonts w:ascii="Cambria Math" w:hAnsi="Cambria Math" w:cs="Cambria Math"/>
                  <w:szCs w:val="21"/>
                </w:rPr>
                <m:t>t</m:t>
              </m:r>
            </m:oMath>
            <w:r>
              <w:rPr>
                <w:rFonts w:hint="eastAsia" w:cstheme="minorEastAsia"/>
                <w:bCs/>
                <w:szCs w:val="21"/>
              </w:rPr>
              <w:t>——降雨历时（min）。</w:t>
            </w:r>
          </w:p>
          <w:p w14:paraId="29398290">
            <w:pPr>
              <w:pStyle w:val="35"/>
              <w:tabs>
                <w:tab w:val="left" w:pos="0"/>
              </w:tabs>
              <w:rPr>
                <w:rFonts w:cstheme="minorEastAsia"/>
                <w:bCs/>
                <w:sz w:val="20"/>
                <w:szCs w:val="20"/>
              </w:rPr>
            </w:pPr>
          </w:p>
          <w:p w14:paraId="1E529E57">
            <w:pPr>
              <w:pStyle w:val="35"/>
              <w:tabs>
                <w:tab w:val="left" w:pos="0"/>
              </w:tabs>
              <w:rPr>
                <w:rFonts w:cs="Times New Roman"/>
                <w:b/>
                <w:bCs/>
                <w:szCs w:val="21"/>
              </w:rPr>
            </w:pPr>
            <w:r>
              <w:rPr>
                <w:rFonts w:hint="eastAsia" w:cs="Times New Roman"/>
                <w:b/>
                <w:bCs/>
                <w:szCs w:val="21"/>
              </w:rPr>
              <w:t>《雨水调蓄设施技术标准》</w:t>
            </w:r>
            <w:r>
              <w:rPr>
                <w:rFonts w:cs="Times New Roman"/>
                <w:b/>
                <w:bCs/>
                <w:szCs w:val="21"/>
              </w:rPr>
              <w:t>DG/TJ 08-2</w:t>
            </w:r>
            <w:r>
              <w:rPr>
                <w:rFonts w:hint="eastAsia" w:cs="Times New Roman"/>
                <w:b/>
                <w:bCs/>
                <w:szCs w:val="21"/>
              </w:rPr>
              <w:t>432</w:t>
            </w:r>
            <w:r>
              <w:rPr>
                <w:rFonts w:cs="Times New Roman"/>
                <w:b/>
                <w:bCs/>
                <w:szCs w:val="21"/>
              </w:rPr>
              <w:t>-20</w:t>
            </w:r>
            <w:r>
              <w:rPr>
                <w:rFonts w:hint="eastAsia" w:cs="Times New Roman"/>
                <w:b/>
                <w:bCs/>
                <w:szCs w:val="21"/>
              </w:rPr>
              <w:t>23</w:t>
            </w:r>
          </w:p>
          <w:p w14:paraId="629122C8">
            <w:pPr>
              <w:pStyle w:val="35"/>
              <w:tabs>
                <w:tab w:val="left" w:pos="0"/>
              </w:tabs>
            </w:pPr>
            <w:r>
              <w:rPr>
                <w:rFonts w:hint="eastAsia"/>
              </w:rPr>
              <w:t>3.1.1 雨水调蓄设施的设计调蓄量应根据雨水设计流量和调蓄设施的主要功能，经计算确定，宜采用数学模型法校核。当雨水调蓄设施具有多种功能时，应分别计算各种功能所需要的调蓄量，根据不同功能发挥的时序，确定取最大值或是合计值作为设计调蓄量。</w:t>
            </w:r>
          </w:p>
          <w:p w14:paraId="3D40F1CD">
            <w:pPr>
              <w:tabs>
                <w:tab w:val="left" w:pos="0"/>
              </w:tabs>
              <w:ind w:firstLine="0" w:firstLineChars="0"/>
              <w:rPr>
                <w:rFonts w:hint="eastAsia"/>
                <w:b/>
                <w:bCs/>
                <w:i/>
                <w:iCs/>
              </w:rPr>
            </w:pPr>
            <w:r>
              <w:rPr>
                <w:rFonts w:hint="eastAsia"/>
                <w:b/>
                <w:bCs/>
                <w:i/>
                <w:iCs/>
              </w:rPr>
              <w:t>审查说明：雨水调蓄设施的主要功能包括控制径流总量、削减峰值流量、控制径流污染和雨水收集利用等。当雨水调蓄设施具备两种及以上功能时，应分别进行调蓄量计算，然后根据其不同功能发挥的时序，确定取最大值或是合计值作为设计调蓄量。</w:t>
            </w:r>
          </w:p>
        </w:tc>
      </w:tr>
      <w:tr w14:paraId="7349AE0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08" w:type="pct"/>
            <w:tcBorders>
              <w:tl2br w:val="nil"/>
              <w:tr2bl w:val="nil"/>
            </w:tcBorders>
            <w:vAlign w:val="center"/>
          </w:tcPr>
          <w:p w14:paraId="488EE83D">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2D7039B6">
            <w:pPr>
              <w:spacing w:line="240" w:lineRule="auto"/>
              <w:ind w:firstLine="0" w:firstLineChars="0"/>
              <w:contextualSpacing/>
              <w:jc w:val="center"/>
              <w:rPr>
                <w:bCs/>
                <w:kern w:val="0"/>
                <w:szCs w:val="21"/>
              </w:rPr>
            </w:pPr>
            <w:r>
              <w:rPr>
                <w:rFonts w:hint="eastAsia" w:eastAsiaTheme="minorEastAsia" w:cstheme="minorEastAsia"/>
                <w:bCs/>
                <w:kern w:val="0"/>
                <w:szCs w:val="21"/>
              </w:rPr>
              <w:t>平面布置和竖向设计</w:t>
            </w:r>
          </w:p>
        </w:tc>
        <w:tc>
          <w:tcPr>
            <w:tcW w:w="3953" w:type="pct"/>
            <w:tcBorders>
              <w:tl2br w:val="nil"/>
              <w:tr2bl w:val="nil"/>
            </w:tcBorders>
            <w:vAlign w:val="center"/>
          </w:tcPr>
          <w:p w14:paraId="4562D4E2">
            <w:pPr>
              <w:pStyle w:val="35"/>
              <w:tabs>
                <w:tab w:val="left" w:pos="0"/>
              </w:tabs>
              <w:rPr>
                <w:rFonts w:cs="Times New Roman"/>
                <w:b/>
                <w:bCs/>
                <w:szCs w:val="21"/>
              </w:rPr>
            </w:pPr>
            <w:r>
              <w:rPr>
                <w:rFonts w:cs="Times New Roman"/>
                <w:b/>
                <w:bCs/>
                <w:szCs w:val="21"/>
              </w:rPr>
              <w:t>《海绵城市规划与设计标准》DG/TJ 08-2298-2026</w:t>
            </w:r>
          </w:p>
          <w:p w14:paraId="7B8DACCD">
            <w:pPr>
              <w:pStyle w:val="35"/>
              <w:rPr>
                <w:rFonts w:cs="Times New Roman" w:eastAsiaTheme="minorEastAsia"/>
                <w:kern w:val="0"/>
                <w:szCs w:val="21"/>
              </w:rPr>
            </w:pPr>
            <w:r>
              <w:rPr>
                <w:rFonts w:hint="eastAsia" w:cs="Times New Roman" w:eastAsiaTheme="minorEastAsia"/>
                <w:kern w:val="0"/>
                <w:szCs w:val="21"/>
              </w:rPr>
              <w:t>6.4.8 用于源头减排的下凹式绿地的设计应符合下列规定:</w:t>
            </w:r>
          </w:p>
          <w:p w14:paraId="052B385A">
            <w:pPr>
              <w:pStyle w:val="35"/>
              <w:ind w:firstLine="420" w:firstLineChars="200"/>
              <w:rPr>
                <w:rFonts w:cs="Times New Roman" w:eastAsiaTheme="minorEastAsia"/>
                <w:kern w:val="0"/>
                <w:szCs w:val="21"/>
              </w:rPr>
            </w:pPr>
            <w:r>
              <w:rPr>
                <w:rFonts w:hint="eastAsia" w:cs="Times New Roman" w:eastAsiaTheme="minorEastAsia"/>
                <w:kern w:val="0"/>
                <w:szCs w:val="21"/>
              </w:rPr>
              <w:t>2 下凹式绿地内应设置溢流口，溢流口顶部标高应低于周边汇水区域的地面50mm~100mm。</w:t>
            </w:r>
          </w:p>
          <w:p w14:paraId="1431E65A">
            <w:pPr>
              <w:pStyle w:val="35"/>
              <w:rPr>
                <w:rFonts w:cs="Times New Roman" w:eastAsiaTheme="minorEastAsia"/>
                <w:bCs/>
                <w:kern w:val="0"/>
                <w:szCs w:val="21"/>
              </w:rPr>
            </w:pPr>
            <w:r>
              <w:rPr>
                <w:rFonts w:hint="eastAsia" w:cs="Times New Roman" w:eastAsiaTheme="minorEastAsia"/>
                <w:bCs/>
                <w:kern w:val="0"/>
                <w:szCs w:val="21"/>
              </w:rPr>
              <w:t>6.4.10</w:t>
            </w:r>
            <w:r>
              <w:rPr>
                <w:rFonts w:hint="eastAsia" w:cs="Times New Roman" w:eastAsiaTheme="minorEastAsia"/>
                <w:bCs/>
                <w:kern w:val="0"/>
                <w:szCs w:val="21"/>
                <w:lang w:val="en-US" w:eastAsia="zh-CN"/>
              </w:rPr>
              <w:t xml:space="preserve"> </w:t>
            </w:r>
            <w:r>
              <w:rPr>
                <w:rFonts w:hint="eastAsia" w:cs="Times New Roman" w:eastAsiaTheme="minorEastAsia"/>
                <w:bCs/>
                <w:kern w:val="0"/>
                <w:szCs w:val="21"/>
              </w:rPr>
              <w:t>生物滞留设施设计应符合下列规定：</w:t>
            </w:r>
          </w:p>
          <w:p w14:paraId="595EC4EA">
            <w:pPr>
              <w:pStyle w:val="35"/>
              <w:tabs>
                <w:tab w:val="left" w:pos="0"/>
              </w:tabs>
              <w:ind w:firstLine="420" w:firstLineChars="200"/>
              <w:rPr>
                <w:rFonts w:cs="Times New Roman" w:eastAsiaTheme="minorEastAsia"/>
                <w:kern w:val="0"/>
                <w:szCs w:val="21"/>
              </w:rPr>
            </w:pPr>
            <w:r>
              <w:rPr>
                <w:rFonts w:hint="eastAsia" w:cs="Times New Roman" w:eastAsiaTheme="minorEastAsia"/>
                <w:kern w:val="0"/>
                <w:szCs w:val="21"/>
              </w:rPr>
              <w:t>1 应选择周边区域的坡度能满足地表径流汇入的场地，不得设置在供水系统周边。</w:t>
            </w:r>
          </w:p>
          <w:p w14:paraId="23B52405">
            <w:pPr>
              <w:pStyle w:val="35"/>
              <w:tabs>
                <w:tab w:val="left" w:pos="0"/>
              </w:tabs>
              <w:ind w:firstLine="420" w:firstLineChars="200"/>
              <w:rPr>
                <w:rFonts w:cs="Times New Roman" w:eastAsiaTheme="minorEastAsia"/>
                <w:kern w:val="0"/>
                <w:szCs w:val="21"/>
              </w:rPr>
            </w:pPr>
            <w:r>
              <w:rPr>
                <w:rFonts w:hint="eastAsia" w:cs="Times New Roman" w:eastAsiaTheme="minorEastAsia"/>
                <w:kern w:val="0"/>
                <w:szCs w:val="21"/>
              </w:rPr>
              <w:t>2 应分散布置，并应根据设施的服务面积合理确定单个生物滞留设施的面积和蓄水层深度。</w:t>
            </w:r>
          </w:p>
          <w:p w14:paraId="77339394">
            <w:pPr>
              <w:pStyle w:val="35"/>
              <w:ind w:firstLine="420" w:firstLineChars="200"/>
              <w:rPr>
                <w:rFonts w:cs="Times New Roman" w:eastAsiaTheme="minorEastAsia"/>
                <w:kern w:val="0"/>
                <w:szCs w:val="21"/>
              </w:rPr>
            </w:pPr>
            <w:r>
              <w:rPr>
                <w:rFonts w:hint="eastAsia" w:cs="Times New Roman" w:eastAsiaTheme="minorEastAsia"/>
                <w:kern w:val="0"/>
                <w:szCs w:val="21"/>
              </w:rPr>
              <w:t>6 对于有污染的道路、停车场等周边的绿地，应在生物滞留设施的汇水区入口之前设置植草沟或沉泥井等预沉降措施。</w:t>
            </w:r>
          </w:p>
          <w:p w14:paraId="10B184B6">
            <w:pPr>
              <w:pStyle w:val="35"/>
              <w:tabs>
                <w:tab w:val="left" w:pos="0"/>
              </w:tabs>
              <w:rPr>
                <w:rFonts w:eastAsiaTheme="minorEastAsia"/>
                <w:b/>
                <w:bCs/>
                <w:i/>
                <w:iCs/>
              </w:rPr>
            </w:pPr>
            <w:r>
              <w:rPr>
                <w:rFonts w:hint="eastAsia"/>
                <w:b/>
                <w:bCs/>
                <w:i/>
                <w:iCs/>
              </w:rPr>
              <w:t>审查说明：生物滞留设施应根据场地竖向设计分散布置，设施面积应根据汇水范围内可收集雨量确定。海绵设施采用溢流形式排放，</w:t>
            </w:r>
            <w:r>
              <w:rPr>
                <w:rFonts w:hint="eastAsia" w:cs="Times New Roman" w:eastAsiaTheme="minorEastAsia"/>
                <w:b/>
                <w:bCs/>
                <w:i/>
                <w:iCs/>
                <w:kern w:val="0"/>
                <w:szCs w:val="21"/>
              </w:rPr>
              <w:t>溢流口顶部标高应低于周边汇水区域的地面50mm~100mm</w:t>
            </w:r>
            <w:r>
              <w:rPr>
                <w:rFonts w:hint="eastAsia"/>
                <w:b/>
                <w:bCs/>
                <w:i/>
                <w:iCs/>
              </w:rPr>
              <w:t>，避免地面积水。溢流口底部应高于调蓄设施底部，高程差由设施调蓄量决定。</w:t>
            </w:r>
            <w:r>
              <w:rPr>
                <w:rFonts w:hint="eastAsia" w:cs="Times New Roman" w:eastAsiaTheme="minorEastAsia"/>
                <w:b/>
                <w:bCs/>
                <w:i/>
                <w:iCs/>
                <w:kern w:val="0"/>
                <w:szCs w:val="21"/>
              </w:rPr>
              <w:t>单个生物滞留设施面积不宜大于40m</w:t>
            </w:r>
            <w:r>
              <w:rPr>
                <w:rFonts w:hint="eastAsia" w:cs="Times New Roman" w:eastAsiaTheme="minorEastAsia"/>
                <w:b/>
                <w:bCs/>
                <w:i/>
                <w:iCs/>
                <w:kern w:val="0"/>
                <w:szCs w:val="21"/>
                <w:vertAlign w:val="superscript"/>
              </w:rPr>
              <w:t>2</w:t>
            </w:r>
            <w:r>
              <w:rPr>
                <w:rFonts w:hint="eastAsia" w:cs="Times New Roman" w:eastAsiaTheme="minorEastAsia"/>
                <w:b/>
                <w:bCs/>
                <w:i/>
                <w:iCs/>
                <w:kern w:val="0"/>
                <w:szCs w:val="21"/>
              </w:rPr>
              <w:t>，蓄水层深度宜为 200mm~300mm。</w:t>
            </w:r>
          </w:p>
          <w:p w14:paraId="053CFBFC">
            <w:pPr>
              <w:pStyle w:val="35"/>
              <w:tabs>
                <w:tab w:val="left" w:pos="0"/>
              </w:tabs>
              <w:rPr>
                <w:b/>
                <w:bCs/>
              </w:rPr>
            </w:pPr>
          </w:p>
          <w:p w14:paraId="0F9B9910">
            <w:pPr>
              <w:pStyle w:val="35"/>
              <w:tabs>
                <w:tab w:val="left" w:pos="0"/>
              </w:tabs>
              <w:rPr>
                <w:szCs w:val="21"/>
              </w:rPr>
            </w:pPr>
            <w:r>
              <w:rPr>
                <w:rFonts w:hint="eastAsia"/>
                <w:b/>
                <w:bCs/>
              </w:rPr>
              <w:t>《室外排水设计标准》GB 50014-2021</w:t>
            </w:r>
          </w:p>
          <w:p w14:paraId="5F4BBC39">
            <w:pPr>
              <w:pStyle w:val="35"/>
              <w:tabs>
                <w:tab w:val="left" w:pos="0"/>
              </w:tabs>
            </w:pPr>
            <w:r>
              <w:rPr>
                <w:rFonts w:hint="eastAsia"/>
              </w:rPr>
              <w:t>4.1.2 当降雨量小于规划确定的年径流总量控制率所对应的降雨量时，源头减排设施应能保证不直接向市政雨水管渠排放未经控制的雨水。</w:t>
            </w:r>
          </w:p>
          <w:p w14:paraId="7780C67F">
            <w:pPr>
              <w:pStyle w:val="35"/>
              <w:tabs>
                <w:tab w:val="left" w:pos="0"/>
              </w:tabs>
              <w:rPr>
                <w:rFonts w:hint="eastAsia"/>
                <w:b/>
                <w:bCs/>
                <w:i/>
                <w:iCs/>
                <w:szCs w:val="21"/>
              </w:rPr>
            </w:pPr>
            <w:r>
              <w:rPr>
                <w:rFonts w:hint="eastAsia"/>
                <w:b/>
                <w:bCs/>
                <w:i/>
                <w:iCs/>
                <w:szCs w:val="21"/>
              </w:rPr>
              <w:t>审查说明：项目海绵城市建设应针对项目地块内所有承接降雨的下垫面给出系统、全面的设计方案，设计时不应遗漏部分下垫面，导致该部分径流雨水未经控制排向市政雨水管渠。同时，设计方案要确保源头减排设施的汇流路径畅通，汇水范围内的径流雨水能顺畅进入源头减排设施；要确保溢流井标高竖向衔接合理，需管控的径流雨水能在源头减排设施内存留。</w:t>
            </w:r>
          </w:p>
          <w:p w14:paraId="795CD1D6">
            <w:pPr>
              <w:pStyle w:val="35"/>
              <w:tabs>
                <w:tab w:val="left" w:pos="0"/>
              </w:tabs>
              <w:rPr>
                <w:rFonts w:hint="eastAsia"/>
                <w:b/>
                <w:bCs/>
                <w:i/>
                <w:iCs/>
                <w:szCs w:val="21"/>
              </w:rPr>
            </w:pPr>
          </w:p>
          <w:p w14:paraId="5741B8D5">
            <w:pPr>
              <w:pStyle w:val="35"/>
              <w:tabs>
                <w:tab w:val="left" w:pos="0"/>
              </w:tabs>
              <w:rPr>
                <w:szCs w:val="21"/>
              </w:rPr>
            </w:pPr>
            <w:r>
              <w:rPr>
                <w:rFonts w:hint="eastAsia"/>
                <w:szCs w:val="21"/>
              </w:rPr>
              <w:t>5.7.5 当考虑道路排水的径流污染控制时，雨水口应设置在源头减排设施中。其箅面标高应根据雨水调蓄设计要求确定，且应高于周围绿地平面标高。</w:t>
            </w:r>
          </w:p>
          <w:p w14:paraId="0F5CB99E">
            <w:pPr>
              <w:pStyle w:val="35"/>
              <w:tabs>
                <w:tab w:val="left" w:pos="0"/>
              </w:tabs>
              <w:rPr>
                <w:i/>
                <w:iCs/>
                <w:szCs w:val="21"/>
              </w:rPr>
            </w:pPr>
            <w:r>
              <w:rPr>
                <w:rFonts w:hint="eastAsia"/>
                <w:b/>
                <w:bCs/>
                <w:i/>
                <w:iCs/>
                <w:szCs w:val="21"/>
              </w:rPr>
              <w:t>审查说明：道路径流雨水由源头减排设施进行管控时，雨水口应设置在源头减排设施中，箅面高于设施底部且低于道路路面，即为溢流口。要确保路面径流雨水能顺畅进入源头减排设施，如有路缘石或人行道阻隔应专门开口（孔）或采用暗管、暗渠连接，其过水能力满足设计暴雨重现期要求。</w:t>
            </w:r>
          </w:p>
        </w:tc>
      </w:tr>
      <w:tr w14:paraId="548043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08" w:type="pct"/>
            <w:tcBorders>
              <w:tl2br w:val="nil"/>
              <w:tr2bl w:val="nil"/>
            </w:tcBorders>
            <w:vAlign w:val="center"/>
          </w:tcPr>
          <w:p w14:paraId="6CA51A67">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14F2CA8C">
            <w:pPr>
              <w:spacing w:line="240" w:lineRule="auto"/>
              <w:ind w:firstLine="0" w:firstLineChars="0"/>
              <w:contextualSpacing/>
              <w:jc w:val="center"/>
              <w:rPr>
                <w:bCs/>
                <w:kern w:val="0"/>
                <w:szCs w:val="21"/>
              </w:rPr>
            </w:pPr>
            <w:r>
              <w:rPr>
                <w:rFonts w:hint="eastAsia"/>
                <w:bCs/>
                <w:kern w:val="0"/>
                <w:szCs w:val="21"/>
              </w:rPr>
              <w:t>排水管渠</w:t>
            </w:r>
          </w:p>
        </w:tc>
        <w:tc>
          <w:tcPr>
            <w:tcW w:w="3953" w:type="pct"/>
            <w:tcBorders>
              <w:tl2br w:val="nil"/>
              <w:tr2bl w:val="nil"/>
            </w:tcBorders>
            <w:vAlign w:val="center"/>
          </w:tcPr>
          <w:p w14:paraId="41510A57">
            <w:pPr>
              <w:pStyle w:val="35"/>
              <w:tabs>
                <w:tab w:val="left" w:pos="0"/>
              </w:tabs>
              <w:rPr>
                <w:szCs w:val="21"/>
              </w:rPr>
            </w:pPr>
            <w:r>
              <w:rPr>
                <w:rFonts w:hint="eastAsia"/>
                <w:b/>
                <w:bCs/>
              </w:rPr>
              <w:t>《室外排水设计标准》GB 50014-2021</w:t>
            </w:r>
          </w:p>
          <w:p w14:paraId="5D068F42">
            <w:pPr>
              <w:tabs>
                <w:tab w:val="left" w:pos="0"/>
              </w:tabs>
              <w:autoSpaceDE w:val="0"/>
              <w:autoSpaceDN w:val="0"/>
              <w:adjustRightInd w:val="0"/>
              <w:ind w:firstLine="0" w:firstLineChars="0"/>
              <w:jc w:val="left"/>
            </w:pPr>
            <w:r>
              <w:rPr>
                <w:rFonts w:hint="eastAsia"/>
              </w:rPr>
              <w:t>3.2.1 雨水系统应包括源头减排、排水管渠、排涝除险等工程性措施和应急管理的非工程性措施，并应与防洪设施相衔接。</w:t>
            </w:r>
          </w:p>
          <w:p w14:paraId="5FB2C725">
            <w:pPr>
              <w:tabs>
                <w:tab w:val="left" w:pos="0"/>
              </w:tabs>
              <w:autoSpaceDE w:val="0"/>
              <w:autoSpaceDN w:val="0"/>
              <w:adjustRightInd w:val="0"/>
              <w:ind w:firstLine="0" w:firstLineChars="0"/>
              <w:jc w:val="left"/>
              <w:rPr>
                <w:b/>
                <w:bCs/>
                <w:i/>
                <w:iCs/>
              </w:rPr>
            </w:pPr>
            <w:r>
              <w:rPr>
                <w:rFonts w:hint="eastAsia"/>
                <w:b/>
                <w:bCs/>
                <w:i/>
                <w:iCs/>
              </w:rPr>
              <w:t>审查说明：源头减排设施是雨水系统的组成部分，与排水管渠、排涝除险设施共同发挥作用，因此源头减排设施设计与排水设计应充分衔接，避免相互冲突。</w:t>
            </w:r>
          </w:p>
          <w:p w14:paraId="688EAD0E">
            <w:pPr>
              <w:tabs>
                <w:tab w:val="left" w:pos="0"/>
              </w:tabs>
              <w:autoSpaceDE w:val="0"/>
              <w:autoSpaceDN w:val="0"/>
              <w:adjustRightInd w:val="0"/>
              <w:ind w:firstLine="0" w:firstLineChars="0"/>
              <w:jc w:val="left"/>
              <w:rPr>
                <w:b/>
                <w:bCs/>
                <w:i/>
                <w:iCs/>
              </w:rPr>
            </w:pPr>
          </w:p>
          <w:p w14:paraId="4491F164">
            <w:pPr>
              <w:pStyle w:val="35"/>
              <w:tabs>
                <w:tab w:val="left" w:pos="0"/>
              </w:tabs>
              <w:rPr>
                <w:b/>
                <w:bCs/>
                <w:szCs w:val="21"/>
              </w:rPr>
            </w:pPr>
            <w:r>
              <w:rPr>
                <w:rFonts w:hint="eastAsia"/>
                <w:b/>
                <w:bCs/>
                <w:szCs w:val="21"/>
              </w:rPr>
              <w:t>《海绵城市规划与设计标准》DG/TJ 08-2298-2026</w:t>
            </w:r>
          </w:p>
          <w:p w14:paraId="2DE6541C">
            <w:pPr>
              <w:pStyle w:val="35"/>
              <w:tabs>
                <w:tab w:val="left" w:pos="0"/>
              </w:tabs>
              <w:rPr>
                <w:szCs w:val="21"/>
              </w:rPr>
            </w:pPr>
            <w:r>
              <w:rPr>
                <w:rFonts w:hint="eastAsia"/>
                <w:szCs w:val="21"/>
              </w:rPr>
              <w:t>4.0.7 雨水管渠设计重现期的取值应符合下列规定：</w:t>
            </w:r>
          </w:p>
          <w:p w14:paraId="78357449">
            <w:pPr>
              <w:pStyle w:val="35"/>
              <w:tabs>
                <w:tab w:val="left" w:pos="0"/>
              </w:tabs>
              <w:ind w:firstLine="420" w:firstLineChars="200"/>
              <w:rPr>
                <w:szCs w:val="21"/>
              </w:rPr>
            </w:pPr>
            <w:r>
              <w:rPr>
                <w:rFonts w:hint="eastAsia"/>
                <w:szCs w:val="21"/>
              </w:rPr>
              <w:t>1 新建地区应按表4.0.7取值。</w:t>
            </w:r>
          </w:p>
          <w:p w14:paraId="35BB049D">
            <w:pPr>
              <w:pStyle w:val="35"/>
              <w:tabs>
                <w:tab w:val="left" w:pos="0"/>
              </w:tabs>
              <w:ind w:firstLine="420" w:firstLineChars="200"/>
              <w:rPr>
                <w:szCs w:val="21"/>
              </w:rPr>
            </w:pPr>
            <w:r>
              <w:rPr>
                <w:rFonts w:hint="eastAsia"/>
                <w:szCs w:val="21"/>
              </w:rPr>
              <w:t>2 建成区宜结合地区改建、道路建设等更新雨水排水系统，并可利用系统内的雨水管渠、调蓄设施和泵站共同作用，达到与表4.0.7设计重现期要求等同的排水能力。</w:t>
            </w:r>
          </w:p>
          <w:p w14:paraId="62ACCAAF">
            <w:pPr>
              <w:pStyle w:val="35"/>
              <w:tabs>
                <w:tab w:val="left" w:pos="0"/>
              </w:tabs>
              <w:jc w:val="center"/>
              <w:rPr>
                <w:szCs w:val="21"/>
              </w:rPr>
            </w:pPr>
            <w:r>
              <w:rPr>
                <w:rFonts w:hint="eastAsia"/>
                <w:szCs w:val="21"/>
              </w:rPr>
              <w:t>表4.0.7雨水管渠设计重现期</w:t>
            </w:r>
          </w:p>
          <w:tbl>
            <w:tblPr>
              <w:tblStyle w:val="24"/>
              <w:tblW w:w="6712" w:type="dxa"/>
              <w:tblInd w:w="1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29"/>
              <w:gridCol w:w="1947"/>
              <w:gridCol w:w="2136"/>
            </w:tblGrid>
            <w:tr w14:paraId="3D9DFD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58" w:type="pct"/>
                  <w:tcBorders>
                    <w:tl2br w:val="nil"/>
                    <w:tr2bl w:val="nil"/>
                  </w:tcBorders>
                  <w:vAlign w:val="center"/>
                </w:tcPr>
                <w:p w14:paraId="19E878A3">
                  <w:pPr>
                    <w:pStyle w:val="35"/>
                    <w:tabs>
                      <w:tab w:val="left" w:pos="0"/>
                    </w:tabs>
                    <w:spacing w:line="240" w:lineRule="auto"/>
                    <w:jc w:val="center"/>
                    <w:rPr>
                      <w:rFonts w:cs="Times New Roman" w:eastAsiaTheme="minorEastAsia"/>
                      <w:bCs/>
                      <w:szCs w:val="21"/>
                    </w:rPr>
                  </w:pPr>
                  <w:r>
                    <w:rPr>
                      <w:rFonts w:cs="Times New Roman" w:eastAsiaTheme="minorEastAsia"/>
                      <w:bCs/>
                      <w:szCs w:val="21"/>
                    </w:rPr>
                    <w:t>区域位置</w:t>
                  </w:r>
                </w:p>
              </w:tc>
              <w:tc>
                <w:tcPr>
                  <w:tcW w:w="1450" w:type="pct"/>
                  <w:tcBorders>
                    <w:tl2br w:val="nil"/>
                    <w:tr2bl w:val="nil"/>
                  </w:tcBorders>
                </w:tcPr>
                <w:p w14:paraId="0668CF9F">
                  <w:pPr>
                    <w:pStyle w:val="35"/>
                    <w:tabs>
                      <w:tab w:val="left" w:pos="0"/>
                    </w:tabs>
                    <w:spacing w:line="240" w:lineRule="auto"/>
                    <w:jc w:val="center"/>
                    <w:rPr>
                      <w:rFonts w:cs="Times New Roman" w:eastAsiaTheme="minorEastAsia"/>
                      <w:bCs/>
                      <w:szCs w:val="21"/>
                    </w:rPr>
                  </w:pPr>
                  <w:r>
                    <w:rPr>
                      <w:rFonts w:cs="Times New Roman" w:eastAsiaTheme="minorEastAsia"/>
                      <w:bCs/>
                      <w:szCs w:val="21"/>
                    </w:rPr>
                    <w:t>雨水管渠</w:t>
                  </w:r>
                </w:p>
                <w:p w14:paraId="7DF1C865">
                  <w:pPr>
                    <w:pStyle w:val="35"/>
                    <w:tabs>
                      <w:tab w:val="left" w:pos="0"/>
                    </w:tabs>
                    <w:spacing w:line="240" w:lineRule="auto"/>
                    <w:jc w:val="center"/>
                    <w:rPr>
                      <w:rFonts w:cs="Times New Roman" w:eastAsiaTheme="minorEastAsia"/>
                      <w:bCs/>
                      <w:szCs w:val="21"/>
                    </w:rPr>
                  </w:pPr>
                  <w:r>
                    <w:rPr>
                      <w:rFonts w:cs="Times New Roman" w:eastAsiaTheme="minorEastAsia"/>
                      <w:bCs/>
                      <w:szCs w:val="21"/>
                    </w:rPr>
                    <w:t>设计重现期</w:t>
                  </w:r>
                </w:p>
              </w:tc>
              <w:tc>
                <w:tcPr>
                  <w:tcW w:w="1591" w:type="pct"/>
                  <w:tcBorders>
                    <w:tl2br w:val="nil"/>
                    <w:tr2bl w:val="nil"/>
                  </w:tcBorders>
                </w:tcPr>
                <w:p w14:paraId="3FA1CF64">
                  <w:pPr>
                    <w:pStyle w:val="35"/>
                    <w:tabs>
                      <w:tab w:val="left" w:pos="0"/>
                    </w:tabs>
                    <w:spacing w:line="240" w:lineRule="auto"/>
                    <w:ind w:left="-105" w:leftChars="-50" w:right="-105" w:rightChars="-50"/>
                    <w:jc w:val="center"/>
                    <w:rPr>
                      <w:rFonts w:cs="Times New Roman" w:eastAsiaTheme="minorEastAsia"/>
                      <w:bCs/>
                      <w:szCs w:val="21"/>
                    </w:rPr>
                  </w:pPr>
                  <w:r>
                    <w:rPr>
                      <w:rFonts w:cs="Times New Roman" w:eastAsiaTheme="minorEastAsia"/>
                      <w:bCs/>
                      <w:szCs w:val="21"/>
                    </w:rPr>
                    <w:t>小时设计降雨强度（mm/h）</w:t>
                  </w:r>
                </w:p>
              </w:tc>
            </w:tr>
            <w:tr w14:paraId="22665CA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58" w:type="pct"/>
                  <w:tcBorders>
                    <w:tl2br w:val="nil"/>
                    <w:tr2bl w:val="nil"/>
                  </w:tcBorders>
                </w:tcPr>
                <w:p w14:paraId="71069CFB">
                  <w:pPr>
                    <w:pStyle w:val="35"/>
                    <w:tabs>
                      <w:tab w:val="left" w:pos="0"/>
                    </w:tabs>
                    <w:spacing w:line="240" w:lineRule="auto"/>
                    <w:jc w:val="center"/>
                    <w:rPr>
                      <w:rFonts w:cs="Times New Roman" w:eastAsiaTheme="minorEastAsia"/>
                      <w:bCs/>
                      <w:szCs w:val="21"/>
                    </w:rPr>
                  </w:pPr>
                  <w:r>
                    <w:rPr>
                      <w:rFonts w:cs="Times New Roman" w:eastAsiaTheme="minorEastAsia"/>
                      <w:bCs/>
                      <w:szCs w:val="21"/>
                    </w:rPr>
                    <w:t>主城区及新城</w:t>
                  </w:r>
                </w:p>
              </w:tc>
              <w:tc>
                <w:tcPr>
                  <w:tcW w:w="1450" w:type="pct"/>
                  <w:tcBorders>
                    <w:tl2br w:val="nil"/>
                    <w:tr2bl w:val="nil"/>
                  </w:tcBorders>
                </w:tcPr>
                <w:p w14:paraId="25C15022">
                  <w:pPr>
                    <w:pStyle w:val="35"/>
                    <w:tabs>
                      <w:tab w:val="left" w:pos="0"/>
                    </w:tabs>
                    <w:spacing w:line="240" w:lineRule="auto"/>
                    <w:jc w:val="center"/>
                    <w:rPr>
                      <w:rFonts w:cs="Times New Roman" w:eastAsiaTheme="minorEastAsia"/>
                      <w:bCs/>
                      <w:szCs w:val="21"/>
                    </w:rPr>
                  </w:pPr>
                  <w:r>
                    <w:rPr>
                      <w:rFonts w:hint="eastAsia" w:eastAsiaTheme="minorEastAsia" w:cstheme="minorEastAsia"/>
                      <w:bCs/>
                      <w:szCs w:val="21"/>
                    </w:rPr>
                    <w:t>≥</w:t>
                  </w:r>
                  <w:r>
                    <w:rPr>
                      <w:rFonts w:cs="Times New Roman" w:eastAsiaTheme="minorEastAsia"/>
                      <w:bCs/>
                      <w:szCs w:val="21"/>
                    </w:rPr>
                    <w:t>5年一遇</w:t>
                  </w:r>
                </w:p>
              </w:tc>
              <w:tc>
                <w:tcPr>
                  <w:tcW w:w="1591" w:type="pct"/>
                  <w:tcBorders>
                    <w:tl2br w:val="nil"/>
                    <w:tr2bl w:val="nil"/>
                  </w:tcBorders>
                </w:tcPr>
                <w:p w14:paraId="042BE114">
                  <w:pPr>
                    <w:pStyle w:val="35"/>
                    <w:tabs>
                      <w:tab w:val="left" w:pos="0"/>
                    </w:tabs>
                    <w:spacing w:line="240" w:lineRule="auto"/>
                    <w:jc w:val="center"/>
                    <w:rPr>
                      <w:rFonts w:cs="Times New Roman" w:eastAsiaTheme="minorEastAsia"/>
                      <w:bCs/>
                      <w:szCs w:val="21"/>
                    </w:rPr>
                  </w:pPr>
                  <w:r>
                    <w:rPr>
                      <w:rFonts w:cs="Times New Roman" w:eastAsiaTheme="minorEastAsia"/>
                      <w:bCs/>
                      <w:szCs w:val="21"/>
                    </w:rPr>
                    <w:t>58</w:t>
                  </w:r>
                  <w:r>
                    <w:rPr>
                      <w:rFonts w:hint="eastAsia" w:cs="Times New Roman" w:eastAsiaTheme="minorEastAsia"/>
                      <w:bCs/>
                      <w:szCs w:val="21"/>
                    </w:rPr>
                    <w:t>.0</w:t>
                  </w:r>
                </w:p>
              </w:tc>
            </w:tr>
            <w:tr w14:paraId="797473B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58" w:type="pct"/>
                  <w:tcBorders>
                    <w:tl2br w:val="nil"/>
                    <w:tr2bl w:val="nil"/>
                  </w:tcBorders>
                </w:tcPr>
                <w:p w14:paraId="4BFC9EAC">
                  <w:pPr>
                    <w:pStyle w:val="35"/>
                    <w:tabs>
                      <w:tab w:val="left" w:pos="0"/>
                    </w:tabs>
                    <w:spacing w:line="240" w:lineRule="auto"/>
                    <w:jc w:val="center"/>
                    <w:rPr>
                      <w:rFonts w:cs="Times New Roman" w:eastAsiaTheme="minorEastAsia"/>
                      <w:bCs/>
                      <w:szCs w:val="21"/>
                    </w:rPr>
                  </w:pPr>
                  <w:r>
                    <w:rPr>
                      <w:rFonts w:cs="Times New Roman" w:eastAsiaTheme="minorEastAsia"/>
                      <w:bCs/>
                      <w:szCs w:val="21"/>
                    </w:rPr>
                    <w:t>其他地区</w:t>
                  </w:r>
                </w:p>
              </w:tc>
              <w:tc>
                <w:tcPr>
                  <w:tcW w:w="1450" w:type="pct"/>
                  <w:tcBorders>
                    <w:tl2br w:val="nil"/>
                    <w:tr2bl w:val="nil"/>
                  </w:tcBorders>
                </w:tcPr>
                <w:p w14:paraId="356014EF">
                  <w:pPr>
                    <w:pStyle w:val="35"/>
                    <w:tabs>
                      <w:tab w:val="left" w:pos="0"/>
                    </w:tabs>
                    <w:spacing w:line="240" w:lineRule="auto"/>
                    <w:jc w:val="center"/>
                    <w:rPr>
                      <w:rFonts w:cs="Times New Roman" w:eastAsiaTheme="minorEastAsia"/>
                      <w:bCs/>
                      <w:szCs w:val="21"/>
                    </w:rPr>
                  </w:pPr>
                  <w:r>
                    <w:rPr>
                      <w:rFonts w:hint="eastAsia" w:eastAsiaTheme="minorEastAsia" w:cstheme="minorEastAsia"/>
                      <w:bCs/>
                      <w:szCs w:val="21"/>
                    </w:rPr>
                    <w:t>≥</w:t>
                  </w:r>
                  <w:r>
                    <w:rPr>
                      <w:rFonts w:cs="Times New Roman" w:eastAsiaTheme="minorEastAsia"/>
                      <w:bCs/>
                      <w:szCs w:val="21"/>
                    </w:rPr>
                    <w:t>3年一遇</w:t>
                  </w:r>
                </w:p>
              </w:tc>
              <w:tc>
                <w:tcPr>
                  <w:tcW w:w="1591" w:type="pct"/>
                  <w:tcBorders>
                    <w:tl2br w:val="nil"/>
                    <w:tr2bl w:val="nil"/>
                  </w:tcBorders>
                </w:tcPr>
                <w:p w14:paraId="420FF69B">
                  <w:pPr>
                    <w:pStyle w:val="35"/>
                    <w:tabs>
                      <w:tab w:val="left" w:pos="0"/>
                    </w:tabs>
                    <w:spacing w:line="240" w:lineRule="auto"/>
                    <w:jc w:val="center"/>
                    <w:rPr>
                      <w:rFonts w:cs="Times New Roman" w:eastAsiaTheme="minorEastAsia"/>
                      <w:bCs/>
                      <w:szCs w:val="21"/>
                    </w:rPr>
                  </w:pPr>
                  <w:r>
                    <w:rPr>
                      <w:rFonts w:cs="Times New Roman" w:eastAsiaTheme="minorEastAsia"/>
                      <w:bCs/>
                      <w:szCs w:val="21"/>
                    </w:rPr>
                    <w:t>51.</w:t>
                  </w:r>
                  <w:r>
                    <w:rPr>
                      <w:rFonts w:hint="eastAsia" w:cs="Times New Roman" w:eastAsiaTheme="minorEastAsia"/>
                      <w:bCs/>
                      <w:szCs w:val="21"/>
                    </w:rPr>
                    <w:t>2</w:t>
                  </w:r>
                </w:p>
              </w:tc>
            </w:tr>
            <w:tr w14:paraId="038ADE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58" w:type="pct"/>
                  <w:tcBorders>
                    <w:tl2br w:val="nil"/>
                    <w:tr2bl w:val="nil"/>
                  </w:tcBorders>
                </w:tcPr>
                <w:p w14:paraId="03884AC4">
                  <w:pPr>
                    <w:pStyle w:val="35"/>
                    <w:tabs>
                      <w:tab w:val="left" w:pos="0"/>
                    </w:tabs>
                    <w:spacing w:line="240" w:lineRule="auto"/>
                    <w:jc w:val="center"/>
                    <w:rPr>
                      <w:rFonts w:cs="Times New Roman" w:eastAsiaTheme="minorEastAsia"/>
                      <w:bCs/>
                      <w:szCs w:val="21"/>
                    </w:rPr>
                  </w:pPr>
                  <w:r>
                    <w:rPr>
                      <w:rFonts w:cs="Times New Roman" w:eastAsiaTheme="minorEastAsia"/>
                      <w:bCs/>
                      <w:szCs w:val="21"/>
                    </w:rPr>
                    <w:t>地下通道和下沉式广场等</w:t>
                  </w:r>
                </w:p>
              </w:tc>
              <w:tc>
                <w:tcPr>
                  <w:tcW w:w="1450" w:type="pct"/>
                  <w:tcBorders>
                    <w:tl2br w:val="nil"/>
                    <w:tr2bl w:val="nil"/>
                  </w:tcBorders>
                </w:tcPr>
                <w:p w14:paraId="1EA8EA7E">
                  <w:pPr>
                    <w:pStyle w:val="35"/>
                    <w:tabs>
                      <w:tab w:val="left" w:pos="0"/>
                    </w:tabs>
                    <w:spacing w:line="240" w:lineRule="auto"/>
                    <w:jc w:val="center"/>
                    <w:rPr>
                      <w:rFonts w:cs="Times New Roman" w:eastAsiaTheme="minorEastAsia"/>
                      <w:bCs/>
                      <w:szCs w:val="21"/>
                    </w:rPr>
                  </w:pPr>
                  <w:r>
                    <w:rPr>
                      <w:rFonts w:cs="Times New Roman" w:eastAsiaTheme="minorEastAsia"/>
                      <w:bCs/>
                      <w:szCs w:val="21"/>
                    </w:rPr>
                    <w:t>30</w:t>
                  </w:r>
                  <w:r>
                    <w:rPr>
                      <w:rFonts w:hint="eastAsia" w:cs="Times New Roman" w:eastAsiaTheme="minorEastAsia"/>
                      <w:bCs/>
                      <w:szCs w:val="21"/>
                    </w:rPr>
                    <w:t>~</w:t>
                  </w:r>
                  <w:r>
                    <w:rPr>
                      <w:rFonts w:cs="Times New Roman" w:eastAsiaTheme="minorEastAsia"/>
                      <w:bCs/>
                      <w:szCs w:val="21"/>
                    </w:rPr>
                    <w:t>50年一遇</w:t>
                  </w:r>
                </w:p>
              </w:tc>
              <w:tc>
                <w:tcPr>
                  <w:tcW w:w="1591" w:type="pct"/>
                  <w:tcBorders>
                    <w:tl2br w:val="nil"/>
                    <w:tr2bl w:val="nil"/>
                  </w:tcBorders>
                </w:tcPr>
                <w:p w14:paraId="51389A78">
                  <w:pPr>
                    <w:pStyle w:val="35"/>
                    <w:tabs>
                      <w:tab w:val="left" w:pos="0"/>
                    </w:tabs>
                    <w:spacing w:line="240" w:lineRule="auto"/>
                    <w:jc w:val="center"/>
                    <w:rPr>
                      <w:rFonts w:cs="Times New Roman" w:eastAsiaTheme="minorEastAsia"/>
                      <w:bCs/>
                      <w:szCs w:val="21"/>
                    </w:rPr>
                  </w:pPr>
                  <w:r>
                    <w:rPr>
                      <w:rFonts w:cs="Times New Roman" w:eastAsiaTheme="minorEastAsia"/>
                      <w:bCs/>
                      <w:szCs w:val="21"/>
                    </w:rPr>
                    <w:t>82.</w:t>
                  </w:r>
                  <w:r>
                    <w:rPr>
                      <w:rFonts w:hint="eastAsia" w:cs="Times New Roman" w:eastAsiaTheme="minorEastAsia"/>
                      <w:bCs/>
                      <w:szCs w:val="21"/>
                    </w:rPr>
                    <w:t>0~</w:t>
                  </w:r>
                  <w:r>
                    <w:rPr>
                      <w:rFonts w:cs="Times New Roman" w:eastAsiaTheme="minorEastAsia"/>
                      <w:bCs/>
                      <w:szCs w:val="21"/>
                    </w:rPr>
                    <w:t>8</w:t>
                  </w:r>
                  <w:r>
                    <w:rPr>
                      <w:rFonts w:hint="eastAsia" w:cs="Times New Roman" w:eastAsiaTheme="minorEastAsia"/>
                      <w:bCs/>
                      <w:szCs w:val="21"/>
                    </w:rPr>
                    <w:t>9.8</w:t>
                  </w:r>
                </w:p>
              </w:tc>
            </w:tr>
          </w:tbl>
          <w:p w14:paraId="0181576D">
            <w:pPr>
              <w:pStyle w:val="35"/>
              <w:tabs>
                <w:tab w:val="left" w:pos="0"/>
              </w:tabs>
              <w:ind w:left="53" w:leftChars="25"/>
              <w:rPr>
                <w:szCs w:val="21"/>
              </w:rPr>
            </w:pPr>
            <w:r>
              <w:rPr>
                <w:rFonts w:hint="eastAsia"/>
                <w:szCs w:val="21"/>
              </w:rPr>
              <w:t>注：表中所列设计重现期适用于采用年最大值法确定的暴雨强度公式。</w:t>
            </w:r>
          </w:p>
          <w:p w14:paraId="5966B6D1">
            <w:pPr>
              <w:pStyle w:val="35"/>
              <w:tabs>
                <w:tab w:val="left" w:pos="0"/>
              </w:tabs>
              <w:ind w:left="53" w:leftChars="25"/>
              <w:rPr>
                <w:szCs w:val="21"/>
              </w:rPr>
            </w:pPr>
            <w:r>
              <w:rPr>
                <w:rFonts w:hint="eastAsia"/>
                <w:szCs w:val="21"/>
              </w:rPr>
              <w:t>4.0.9 在雨水管渠设计重现期下，新、改、扩建项目的源头峰值径流控制应保证外排径流峰值流量不超过原有径流峰值流量。当新建建筑与小区所处市政雨水管网尚未达到表4.0.7的规定时，地块内的雨水排水系统应满足表4.0.7规定的设计重现期降雨条件下，建筑与小区不积水。</w:t>
            </w:r>
          </w:p>
        </w:tc>
      </w:tr>
      <w:tr w14:paraId="71023B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408" w:type="pct"/>
            <w:tcBorders>
              <w:tl2br w:val="nil"/>
              <w:tr2bl w:val="nil"/>
            </w:tcBorders>
            <w:vAlign w:val="center"/>
          </w:tcPr>
          <w:p w14:paraId="57B1E059">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5DF8AA9F">
            <w:pPr>
              <w:spacing w:line="240" w:lineRule="auto"/>
              <w:ind w:firstLine="0" w:firstLineChars="0"/>
              <w:contextualSpacing/>
              <w:jc w:val="center"/>
              <w:rPr>
                <w:bCs/>
                <w:kern w:val="0"/>
                <w:szCs w:val="21"/>
              </w:rPr>
            </w:pPr>
            <w:r>
              <w:rPr>
                <w:rFonts w:hint="eastAsia"/>
                <w:bCs/>
                <w:kern w:val="0"/>
                <w:szCs w:val="21"/>
              </w:rPr>
              <w:t>生物滞留设施、下凹式绿地</w:t>
            </w:r>
          </w:p>
        </w:tc>
        <w:tc>
          <w:tcPr>
            <w:tcW w:w="3953" w:type="pct"/>
            <w:tcBorders>
              <w:tl2br w:val="nil"/>
              <w:tr2bl w:val="nil"/>
            </w:tcBorders>
            <w:vAlign w:val="center"/>
          </w:tcPr>
          <w:p w14:paraId="27B66C02">
            <w:pPr>
              <w:pStyle w:val="35"/>
              <w:tabs>
                <w:tab w:val="left" w:pos="0"/>
              </w:tabs>
              <w:rPr>
                <w:b/>
                <w:bCs/>
                <w:szCs w:val="21"/>
              </w:rPr>
            </w:pPr>
            <w:r>
              <w:rPr>
                <w:rFonts w:hint="eastAsia"/>
                <w:b/>
                <w:bCs/>
                <w:szCs w:val="21"/>
              </w:rPr>
              <w:t>《海绵城市规划与设计标准》DG/TJ 08-2298-2026</w:t>
            </w:r>
          </w:p>
          <w:p w14:paraId="1C5A3ED4">
            <w:pPr>
              <w:tabs>
                <w:tab w:val="left" w:pos="0"/>
              </w:tabs>
              <w:ind w:firstLine="0" w:firstLineChars="0"/>
              <w:rPr>
                <w:rFonts w:cs="Times New Roman"/>
                <w:szCs w:val="21"/>
              </w:rPr>
            </w:pPr>
            <w:r>
              <w:rPr>
                <w:rFonts w:hint="eastAsia" w:cs="Times New Roman"/>
                <w:szCs w:val="21"/>
              </w:rPr>
              <w:t>6.1.8 源头减排设施应根据调蓄水位设置溢流口，并应与下游雨水管渠系统或排涝除险系统相衔接。溢流口的设计流量应为雨水管渠设计重现期计算流量的1.5倍~3倍。</w:t>
            </w:r>
          </w:p>
          <w:p w14:paraId="4D290409">
            <w:pPr>
              <w:tabs>
                <w:tab w:val="left" w:pos="0"/>
              </w:tabs>
              <w:ind w:firstLine="0" w:firstLineChars="0"/>
              <w:rPr>
                <w:rFonts w:cs="Times New Roman"/>
                <w:b/>
                <w:bCs/>
                <w:i/>
                <w:iCs/>
                <w:szCs w:val="21"/>
              </w:rPr>
            </w:pPr>
            <w:r>
              <w:rPr>
                <w:rFonts w:hint="eastAsia" w:cs="Times New Roman"/>
                <w:b/>
                <w:bCs/>
                <w:i/>
                <w:iCs/>
                <w:szCs w:val="21"/>
              </w:rPr>
              <w:t>审查说明：海绵设施溢流口应与下游管渠合理衔接，标高合理，溢流口排水能力应满足汇水范围</w:t>
            </w:r>
            <w:r>
              <w:rPr>
                <w:rFonts w:hint="eastAsia" w:cs="Times New Roman"/>
                <w:b/>
                <w:bCs/>
                <w:i/>
                <w:iCs/>
                <w:szCs w:val="21"/>
                <w:lang w:val="en-US" w:eastAsia="zh-CN"/>
              </w:rPr>
              <w:t>内</w:t>
            </w:r>
            <w:r>
              <w:rPr>
                <w:rFonts w:hint="eastAsia" w:cs="Times New Roman"/>
                <w:b/>
                <w:bCs/>
                <w:i/>
                <w:iCs/>
                <w:szCs w:val="21"/>
              </w:rPr>
              <w:t>排水安全要求，并复核在堰流、孔口流两种工况下是否均满足，应在计算书中明确计算过程及复核结果。</w:t>
            </w:r>
          </w:p>
          <w:p w14:paraId="398CAFE0">
            <w:pPr>
              <w:tabs>
                <w:tab w:val="left" w:pos="0"/>
              </w:tabs>
              <w:ind w:firstLine="0" w:firstLineChars="0"/>
              <w:rPr>
                <w:rFonts w:cs="Times New Roman"/>
                <w:b/>
                <w:bCs/>
                <w:i/>
                <w:iCs/>
                <w:szCs w:val="21"/>
              </w:rPr>
            </w:pPr>
          </w:p>
          <w:p w14:paraId="6543FFB6">
            <w:pPr>
              <w:pStyle w:val="35"/>
              <w:tabs>
                <w:tab w:val="left" w:pos="0"/>
              </w:tabs>
              <w:rPr>
                <w:szCs w:val="21"/>
              </w:rPr>
            </w:pPr>
            <w:r>
              <w:rPr>
                <w:rFonts w:hint="eastAsia"/>
                <w:szCs w:val="21"/>
              </w:rPr>
              <w:t>6.1.9 具有渗透功能的源头减排设施的设置应符合下列规定：</w:t>
            </w:r>
          </w:p>
          <w:p w14:paraId="7CB5D310">
            <w:pPr>
              <w:pStyle w:val="35"/>
              <w:tabs>
                <w:tab w:val="left" w:pos="0"/>
              </w:tabs>
              <w:ind w:firstLine="420" w:firstLineChars="200"/>
              <w:rPr>
                <w:szCs w:val="21"/>
              </w:rPr>
            </w:pPr>
            <w:r>
              <w:rPr>
                <w:rFonts w:hint="eastAsia"/>
                <w:szCs w:val="21"/>
              </w:rPr>
              <w:t>1 设施边界与建筑物基础的距离应大于5m，不足5m的应设置防渗膜。</w:t>
            </w:r>
          </w:p>
          <w:p w14:paraId="666F06DE">
            <w:pPr>
              <w:pStyle w:val="35"/>
              <w:tabs>
                <w:tab w:val="left" w:pos="0"/>
              </w:tabs>
              <w:ind w:firstLine="420" w:firstLineChars="200"/>
              <w:rPr>
                <w:szCs w:val="21"/>
              </w:rPr>
            </w:pPr>
            <w:r>
              <w:rPr>
                <w:rFonts w:hint="eastAsia"/>
                <w:szCs w:val="21"/>
              </w:rPr>
              <w:t>2 设施底部与当地的地下水季节性高水位的距离应大于1m，不足1m的应设置防渗膜。</w:t>
            </w:r>
          </w:p>
          <w:p w14:paraId="4C676ECE">
            <w:pPr>
              <w:ind w:firstLine="0" w:firstLineChars="0"/>
            </w:pPr>
            <w:r>
              <w:rPr>
                <w:rFonts w:hint="eastAsia"/>
              </w:rPr>
              <w:t>6.4.8</w:t>
            </w:r>
            <w:r>
              <w:rPr>
                <w:rFonts w:hint="eastAsia"/>
                <w:lang w:val="en-US" w:eastAsia="zh-CN"/>
              </w:rPr>
              <w:t xml:space="preserve"> </w:t>
            </w:r>
            <w:r>
              <w:rPr>
                <w:rFonts w:hint="eastAsia"/>
              </w:rPr>
              <w:t>用于源头减排的下凹式绿地的设计应符合下列规定:</w:t>
            </w:r>
          </w:p>
          <w:p w14:paraId="3712ADDA">
            <w:pPr>
              <w:pStyle w:val="35"/>
              <w:tabs>
                <w:tab w:val="left" w:pos="0"/>
                <w:tab w:val="left" w:pos="420"/>
              </w:tabs>
              <w:ind w:left="420"/>
              <w:rPr>
                <w:szCs w:val="21"/>
              </w:rPr>
            </w:pPr>
            <w:r>
              <w:rPr>
                <w:rFonts w:hint="eastAsia" w:cs="Times New Roman" w:eastAsiaTheme="minorEastAsia"/>
                <w:kern w:val="0"/>
                <w:szCs w:val="21"/>
              </w:rPr>
              <w:t>5 下凹式绿地应设置下排水盲管、渗透介质层和防渗膜。</w:t>
            </w:r>
          </w:p>
          <w:p w14:paraId="68C9485D">
            <w:pPr>
              <w:pStyle w:val="35"/>
              <w:tabs>
                <w:tab w:val="left" w:pos="0"/>
              </w:tabs>
              <w:rPr>
                <w:b/>
                <w:bCs/>
                <w:i/>
                <w:iCs/>
                <w:szCs w:val="21"/>
              </w:rPr>
            </w:pPr>
            <w:r>
              <w:rPr>
                <w:rFonts w:hint="eastAsia"/>
                <w:b/>
                <w:bCs/>
                <w:i/>
                <w:iCs/>
                <w:szCs w:val="21"/>
              </w:rPr>
              <w:t>审查说明：具有渗透功能的源头减排设施包括生物滞留设施、湿式植草沟、透水铺装等。规定设施与附近建筑基础的安全距离主要是为了避免其积蓄的雨水渗入基础。当设施下方设有防渗膜，并与周围土壤完全隔绝时，可不受本规定限制。上海市地下水位高，一般难以满足设施底部与地下水位距离大于1m的要求，具有渗透功能的源头减排设施通常均需设置防渗膜。</w:t>
            </w:r>
          </w:p>
          <w:p w14:paraId="5581DEE8">
            <w:pPr>
              <w:pStyle w:val="35"/>
              <w:tabs>
                <w:tab w:val="left" w:pos="0"/>
                <w:tab w:val="left" w:pos="420"/>
              </w:tabs>
              <w:rPr>
                <w:rFonts w:cs="Times New Roman" w:eastAsiaTheme="minorEastAsia"/>
                <w:kern w:val="0"/>
                <w:szCs w:val="21"/>
              </w:rPr>
            </w:pPr>
          </w:p>
          <w:p w14:paraId="72515ABF">
            <w:pPr>
              <w:pStyle w:val="35"/>
              <w:tabs>
                <w:tab w:val="left" w:pos="420"/>
              </w:tabs>
              <w:rPr>
                <w:rFonts w:cs="Times New Roman" w:eastAsiaTheme="minorEastAsia"/>
                <w:kern w:val="0"/>
                <w:szCs w:val="21"/>
              </w:rPr>
            </w:pPr>
            <w:r>
              <w:rPr>
                <w:rFonts w:hint="eastAsia" w:cs="Times New Roman" w:eastAsiaTheme="minorEastAsia"/>
                <w:kern w:val="0"/>
                <w:szCs w:val="21"/>
              </w:rPr>
              <w:t>6.4.9 用于排涝除险的下凹式绿地的设计应符合下列规定:</w:t>
            </w:r>
          </w:p>
          <w:p w14:paraId="361343E1">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3 排空时间不应大于绿地中植被的耐淹时间。</w:t>
            </w:r>
          </w:p>
          <w:p w14:paraId="1C1FD732">
            <w:pPr>
              <w:pStyle w:val="35"/>
              <w:tabs>
                <w:tab w:val="left" w:pos="0"/>
              </w:tabs>
              <w:ind w:firstLine="420" w:firstLineChars="200"/>
              <w:rPr>
                <w:rFonts w:cs="Times New Roman" w:eastAsiaTheme="minorEastAsia"/>
                <w:kern w:val="0"/>
                <w:szCs w:val="21"/>
              </w:rPr>
            </w:pPr>
            <w:r>
              <w:rPr>
                <w:rFonts w:hint="eastAsia" w:cs="Times New Roman" w:eastAsiaTheme="minorEastAsia"/>
                <w:kern w:val="0"/>
                <w:szCs w:val="21"/>
              </w:rPr>
              <w:t>4 应在绿地低洼处设置出流口并与下游雨水排水系统相连。</w:t>
            </w:r>
          </w:p>
          <w:p w14:paraId="74337671">
            <w:pPr>
              <w:tabs>
                <w:tab w:val="left" w:pos="0"/>
              </w:tabs>
              <w:ind w:firstLine="0" w:firstLineChars="0"/>
              <w:rPr>
                <w:rFonts w:cs="Times New Roman" w:eastAsiaTheme="minorEastAsia"/>
                <w:bCs/>
                <w:kern w:val="0"/>
                <w:szCs w:val="21"/>
              </w:rPr>
            </w:pPr>
            <w:bookmarkStart w:id="66" w:name="OLE_LINK6"/>
            <w:r>
              <w:rPr>
                <w:rFonts w:hint="eastAsia" w:cs="Times New Roman" w:eastAsiaTheme="minorEastAsia"/>
                <w:bCs/>
                <w:kern w:val="0"/>
                <w:szCs w:val="21"/>
              </w:rPr>
              <w:t>6.4.10</w:t>
            </w:r>
            <w:r>
              <w:rPr>
                <w:rFonts w:hint="eastAsia" w:cs="Times New Roman" w:eastAsiaTheme="minorEastAsia"/>
                <w:bCs/>
                <w:kern w:val="0"/>
                <w:szCs w:val="21"/>
                <w:lang w:val="en-US" w:eastAsia="zh-CN"/>
              </w:rPr>
              <w:t xml:space="preserve"> </w:t>
            </w:r>
            <w:r>
              <w:rPr>
                <w:rFonts w:hint="eastAsia" w:cs="Times New Roman" w:eastAsiaTheme="minorEastAsia"/>
                <w:bCs/>
                <w:kern w:val="0"/>
                <w:szCs w:val="21"/>
              </w:rPr>
              <w:t>生物滞留设施设计应符合下列规定：</w:t>
            </w:r>
          </w:p>
          <w:p w14:paraId="7553B772">
            <w:pPr>
              <w:tabs>
                <w:tab w:val="left" w:pos="0"/>
              </w:tabs>
              <w:ind w:firstLine="420" w:firstLineChars="0"/>
              <w:rPr>
                <w:rFonts w:cs="Times New Roman" w:eastAsiaTheme="minorEastAsia"/>
                <w:kern w:val="0"/>
                <w:szCs w:val="21"/>
              </w:rPr>
            </w:pPr>
            <w:r>
              <w:rPr>
                <w:rFonts w:hint="eastAsia" w:cs="Times New Roman" w:eastAsiaTheme="minorEastAsia"/>
                <w:kern w:val="0"/>
                <w:szCs w:val="21"/>
              </w:rPr>
              <w:t>5 生物滞留设施内应设置溢流设施，溢流设施顶部标高应根据设计蓄水层深度和服务范围下垫面标高确定；溢流出水口应设置碎石等消能设施，防止水流冲刷和侵蚀。</w:t>
            </w:r>
          </w:p>
          <w:bookmarkEnd w:id="66"/>
          <w:p w14:paraId="27B18DEC">
            <w:pPr>
              <w:pStyle w:val="35"/>
              <w:tabs>
                <w:tab w:val="left" w:pos="0"/>
              </w:tabs>
              <w:ind w:firstLine="420" w:firstLineChars="200"/>
              <w:rPr>
                <w:rFonts w:cs="Times New Roman" w:eastAsiaTheme="minorEastAsia"/>
                <w:b/>
                <w:bCs/>
                <w:kern w:val="0"/>
                <w:szCs w:val="21"/>
              </w:rPr>
            </w:pPr>
            <w:r>
              <w:rPr>
                <w:rFonts w:hint="eastAsia" w:cs="Times New Roman" w:eastAsiaTheme="minorEastAsia"/>
                <w:kern w:val="0"/>
                <w:szCs w:val="21"/>
              </w:rPr>
              <w:t>7 应根据生物滞留设施内水深设计合理配置植物品种。</w:t>
            </w:r>
          </w:p>
          <w:p w14:paraId="619E53CD">
            <w:pPr>
              <w:pStyle w:val="35"/>
              <w:tabs>
                <w:tab w:val="left" w:pos="0"/>
              </w:tabs>
              <w:rPr>
                <w:rFonts w:cs="Times New Roman" w:eastAsiaTheme="minorEastAsia"/>
                <w:b/>
                <w:bCs/>
                <w:i/>
                <w:iCs/>
                <w:kern w:val="0"/>
                <w:szCs w:val="21"/>
              </w:rPr>
            </w:pPr>
            <w:r>
              <w:rPr>
                <w:rFonts w:hint="eastAsia" w:cs="Times New Roman" w:eastAsiaTheme="minorEastAsia"/>
                <w:b/>
                <w:bCs/>
                <w:i/>
                <w:iCs/>
                <w:kern w:val="0"/>
                <w:szCs w:val="21"/>
              </w:rPr>
              <w:t>审查说明：溢流设施的排水能力应满足相应汇水范围在设计暴雨重现期下的径流量排放要求。生物滞留设施存在雨天短暂积水、晴天长期干旱状态，应选择短期耐淹、长期耐旱植物</w:t>
            </w:r>
            <w:r>
              <w:rPr>
                <w:rFonts w:hint="eastAsia" w:cs="Times New Roman" w:eastAsiaTheme="minorEastAsia"/>
                <w:b/>
                <w:bCs/>
                <w:i/>
                <w:iCs/>
                <w:kern w:val="0"/>
                <w:szCs w:val="21"/>
                <w:lang w:eastAsia="zh-CN"/>
              </w:rPr>
              <w:t>，</w:t>
            </w:r>
            <w:r>
              <w:rPr>
                <w:rFonts w:hint="eastAsia" w:cs="Times New Roman" w:eastAsiaTheme="minorEastAsia"/>
                <w:b/>
                <w:bCs/>
                <w:i/>
                <w:iCs/>
                <w:kern w:val="0"/>
                <w:szCs w:val="21"/>
              </w:rPr>
              <w:t>适宜生物滞留设施工作环境，提高植物存活率。</w:t>
            </w:r>
          </w:p>
          <w:p w14:paraId="1201BABD">
            <w:pPr>
              <w:pStyle w:val="35"/>
              <w:tabs>
                <w:tab w:val="left" w:pos="0"/>
              </w:tabs>
              <w:rPr>
                <w:rFonts w:cs="Times New Roman" w:eastAsiaTheme="minorEastAsia"/>
                <w:b/>
                <w:bCs/>
                <w:i/>
                <w:iCs/>
                <w:kern w:val="0"/>
                <w:szCs w:val="21"/>
              </w:rPr>
            </w:pPr>
          </w:p>
          <w:p w14:paraId="6765A146">
            <w:pPr>
              <w:pStyle w:val="35"/>
              <w:tabs>
                <w:tab w:val="left" w:pos="0"/>
              </w:tabs>
            </w:pPr>
            <w:r>
              <w:rPr>
                <w:rFonts w:hint="eastAsia"/>
              </w:rPr>
              <w:t>6.4.26 植被缓冲带的设计应符合下列规定：</w:t>
            </w:r>
          </w:p>
          <w:p w14:paraId="40E8F89C">
            <w:pPr>
              <w:pStyle w:val="35"/>
              <w:tabs>
                <w:tab w:val="left" w:pos="0"/>
              </w:tabs>
              <w:ind w:firstLine="420" w:firstLineChars="200"/>
            </w:pPr>
            <w:r>
              <w:rPr>
                <w:rFonts w:hint="eastAsia"/>
              </w:rPr>
              <w:t>2 在海绵城市设施的汇水区入口和坡度较大的植被缓冲带边缘，应采用隔离纺织层、种植固土植被、添加覆盖物等措施固定绿地内土壤。</w:t>
            </w:r>
          </w:p>
          <w:p w14:paraId="553BC505">
            <w:pPr>
              <w:pStyle w:val="35"/>
              <w:tabs>
                <w:tab w:val="left" w:pos="0"/>
              </w:tabs>
              <w:rPr>
                <w:rFonts w:hint="eastAsia" w:cs="Times New Roman" w:eastAsiaTheme="minorEastAsia"/>
                <w:b/>
                <w:bCs/>
                <w:i/>
                <w:iCs/>
                <w:kern w:val="0"/>
                <w:szCs w:val="21"/>
              </w:rPr>
            </w:pPr>
            <w:r>
              <w:rPr>
                <w:rFonts w:hint="eastAsia"/>
                <w:b/>
                <w:bCs/>
                <w:i/>
                <w:iCs/>
              </w:rPr>
              <w:t>审查说明：在地形高差或坡度较大的地方，应注意防止水土流失。</w:t>
            </w:r>
          </w:p>
        </w:tc>
      </w:tr>
      <w:tr w14:paraId="3C16DF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408" w:type="pct"/>
            <w:tcBorders>
              <w:tl2br w:val="nil"/>
              <w:tr2bl w:val="nil"/>
            </w:tcBorders>
            <w:vAlign w:val="center"/>
          </w:tcPr>
          <w:p w14:paraId="7DA963FD">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666DE681">
            <w:pPr>
              <w:spacing w:line="240" w:lineRule="auto"/>
              <w:ind w:firstLine="0" w:firstLineChars="0"/>
              <w:contextualSpacing/>
              <w:jc w:val="center"/>
              <w:rPr>
                <w:bCs/>
                <w:kern w:val="0"/>
                <w:szCs w:val="21"/>
              </w:rPr>
            </w:pPr>
            <w:r>
              <w:rPr>
                <w:rFonts w:hint="eastAsia"/>
                <w:bCs/>
                <w:kern w:val="0"/>
                <w:szCs w:val="21"/>
              </w:rPr>
              <w:t>透水铺装</w:t>
            </w:r>
          </w:p>
        </w:tc>
        <w:tc>
          <w:tcPr>
            <w:tcW w:w="3953" w:type="pct"/>
            <w:tcBorders>
              <w:tl2br w:val="nil"/>
              <w:tr2bl w:val="nil"/>
            </w:tcBorders>
            <w:vAlign w:val="center"/>
          </w:tcPr>
          <w:p w14:paraId="2130DDF9">
            <w:pPr>
              <w:pStyle w:val="35"/>
              <w:tabs>
                <w:tab w:val="left" w:pos="0"/>
              </w:tabs>
              <w:rPr>
                <w:rFonts w:cs="Times New Roman" w:eastAsiaTheme="minorEastAsia"/>
                <w:b/>
                <w:bCs/>
                <w:kern w:val="0"/>
                <w:szCs w:val="21"/>
              </w:rPr>
            </w:pPr>
            <w:r>
              <w:rPr>
                <w:rFonts w:cs="Times New Roman" w:eastAsiaTheme="minorEastAsia"/>
                <w:b/>
                <w:bCs/>
                <w:kern w:val="0"/>
                <w:szCs w:val="21"/>
              </w:rPr>
              <w:t>《建筑与小区雨水控制及利用工程技术规范》GB 50400-2016</w:t>
            </w:r>
          </w:p>
          <w:p w14:paraId="6AC05DA4">
            <w:pPr>
              <w:pStyle w:val="35"/>
              <w:tabs>
                <w:tab w:val="left" w:pos="0"/>
              </w:tabs>
              <w:rPr>
                <w:szCs w:val="21"/>
              </w:rPr>
            </w:pPr>
            <w:r>
              <w:rPr>
                <w:rFonts w:hint="eastAsia"/>
                <w:szCs w:val="21"/>
              </w:rPr>
              <w:t>6.2.2</w:t>
            </w:r>
            <w:r>
              <w:rPr>
                <w:rFonts w:hint="eastAsia"/>
                <w:szCs w:val="21"/>
                <w:lang w:val="en-US" w:eastAsia="zh-CN"/>
              </w:rPr>
              <w:t xml:space="preserve"> </w:t>
            </w:r>
            <w:r>
              <w:rPr>
                <w:szCs w:val="21"/>
              </w:rPr>
              <w:t>透水铺装地面的透水性能应满足1h降雨45mm条件下，表面不产生径流，并应符合下列规定：</w:t>
            </w:r>
          </w:p>
          <w:p w14:paraId="70D541A7">
            <w:pPr>
              <w:pStyle w:val="35"/>
              <w:tabs>
                <w:tab w:val="left" w:pos="0"/>
              </w:tabs>
              <w:ind w:firstLine="420" w:firstLineChars="200"/>
              <w:rPr>
                <w:rFonts w:cs="Times New Roman"/>
                <w:szCs w:val="21"/>
              </w:rPr>
            </w:pPr>
            <w:r>
              <w:rPr>
                <w:rFonts w:hint="eastAsia" w:cs="Times New Roman"/>
                <w:szCs w:val="21"/>
              </w:rPr>
              <w:t>2</w:t>
            </w:r>
            <w:r>
              <w:rPr>
                <w:rFonts w:hint="eastAsia" w:cs="Times New Roman"/>
                <w:szCs w:val="21"/>
                <w:lang w:val="en-US" w:eastAsia="zh-CN"/>
              </w:rPr>
              <w:t xml:space="preserve"> </w:t>
            </w:r>
            <w:r>
              <w:rPr>
                <w:rFonts w:cs="Times New Roman"/>
                <w:szCs w:val="21"/>
              </w:rPr>
              <w:t>透水面层的渗透系数应大于1×10</w:t>
            </w:r>
            <w:r>
              <w:rPr>
                <w:rFonts w:cs="Times New Roman"/>
                <w:szCs w:val="21"/>
                <w:vertAlign w:val="superscript"/>
              </w:rPr>
              <w:t>-</w:t>
            </w:r>
            <w:r>
              <w:rPr>
                <w:rFonts w:hint="eastAsia" w:cs="Times New Roman"/>
                <w:szCs w:val="21"/>
                <w:vertAlign w:val="superscript"/>
              </w:rPr>
              <w:t>4</w:t>
            </w:r>
            <w:r>
              <w:rPr>
                <w:rFonts w:cs="Times New Roman"/>
                <w:szCs w:val="21"/>
              </w:rPr>
              <w:t>m/s；透水面砖的有效孔隙率不应小于8%，透水混凝土的有效孔隙率不应小于10%</w:t>
            </w:r>
            <w:r>
              <w:rPr>
                <w:rFonts w:hint="eastAsia" w:cs="Times New Roman"/>
                <w:szCs w:val="21"/>
              </w:rPr>
              <w:t>。</w:t>
            </w:r>
          </w:p>
          <w:p w14:paraId="4044A525">
            <w:pPr>
              <w:pStyle w:val="35"/>
              <w:tabs>
                <w:tab w:val="left" w:pos="0"/>
              </w:tabs>
              <w:ind w:firstLine="420" w:firstLineChars="200"/>
              <w:rPr>
                <w:rFonts w:cs="Times New Roman"/>
                <w:szCs w:val="21"/>
              </w:rPr>
            </w:pPr>
            <w:r>
              <w:rPr>
                <w:rFonts w:hint="eastAsia" w:cs="Times New Roman"/>
                <w:szCs w:val="21"/>
              </w:rPr>
              <w:t>3</w:t>
            </w:r>
            <w:r>
              <w:rPr>
                <w:rFonts w:hint="eastAsia" w:cs="Times New Roman"/>
                <w:szCs w:val="21"/>
                <w:lang w:val="en-US" w:eastAsia="zh-CN"/>
              </w:rPr>
              <w:t xml:space="preserve"> </w:t>
            </w:r>
            <w:r>
              <w:rPr>
                <w:rFonts w:cs="Times New Roman"/>
                <w:szCs w:val="21"/>
              </w:rPr>
              <w:t>找平层的渗透系数和有效孔隙率不应小于面层</w:t>
            </w:r>
            <w:r>
              <w:rPr>
                <w:rFonts w:hint="eastAsia" w:cs="Times New Roman"/>
                <w:szCs w:val="21"/>
              </w:rPr>
              <w:t>。</w:t>
            </w:r>
          </w:p>
          <w:p w14:paraId="2480517D">
            <w:pPr>
              <w:pStyle w:val="35"/>
              <w:tabs>
                <w:tab w:val="left" w:pos="0"/>
              </w:tabs>
              <w:ind w:firstLine="420" w:firstLineChars="200"/>
              <w:rPr>
                <w:rFonts w:cs="Times New Roman"/>
                <w:szCs w:val="21"/>
              </w:rPr>
            </w:pPr>
            <w:r>
              <w:rPr>
                <w:rFonts w:cs="Times New Roman"/>
                <w:szCs w:val="21"/>
              </w:rPr>
              <w:t xml:space="preserve">4 </w:t>
            </w:r>
            <w:r>
              <w:rPr>
                <w:rFonts w:hint="eastAsia" w:cs="Times New Roman"/>
                <w:szCs w:val="21"/>
              </w:rPr>
              <w:t>基层和底基层的渗透系数应大于面层；</w:t>
            </w:r>
            <w:r>
              <w:rPr>
                <w:rFonts w:cs="Times New Roman"/>
                <w:szCs w:val="21"/>
              </w:rPr>
              <w:t>透水混凝土的有效孔隙率应大于10%，砂砾料和砾石的有效孔隙率应大于20%</w:t>
            </w:r>
            <w:r>
              <w:rPr>
                <w:rFonts w:hint="eastAsia" w:cs="Times New Roman"/>
                <w:szCs w:val="21"/>
              </w:rPr>
              <w:t>。</w:t>
            </w:r>
          </w:p>
          <w:p w14:paraId="69C2E21A">
            <w:pPr>
              <w:pStyle w:val="35"/>
              <w:tabs>
                <w:tab w:val="left" w:pos="0"/>
              </w:tabs>
              <w:ind w:firstLine="420" w:firstLineChars="200"/>
              <w:rPr>
                <w:rFonts w:cs="Times New Roman"/>
                <w:szCs w:val="21"/>
              </w:rPr>
            </w:pPr>
          </w:p>
          <w:p w14:paraId="7468FA66">
            <w:pPr>
              <w:pStyle w:val="35"/>
              <w:tabs>
                <w:tab w:val="left" w:pos="0"/>
              </w:tabs>
              <w:rPr>
                <w:rFonts w:cs="Times New Roman"/>
                <w:b/>
                <w:bCs/>
                <w:szCs w:val="21"/>
              </w:rPr>
            </w:pPr>
            <w:r>
              <w:rPr>
                <w:rFonts w:cs="Times New Roman"/>
                <w:b/>
                <w:bCs/>
                <w:szCs w:val="21"/>
              </w:rPr>
              <w:t>《透水</w:t>
            </w:r>
            <w:r>
              <w:rPr>
                <w:rFonts w:hint="eastAsia" w:cs="Times New Roman"/>
                <w:b/>
                <w:bCs/>
                <w:szCs w:val="21"/>
              </w:rPr>
              <w:t>砖</w:t>
            </w:r>
            <w:r>
              <w:rPr>
                <w:rFonts w:cs="Times New Roman"/>
                <w:b/>
                <w:bCs/>
                <w:szCs w:val="21"/>
              </w:rPr>
              <w:t>路面技术规程》CJJ/T</w:t>
            </w:r>
            <w:r>
              <w:rPr>
                <w:rFonts w:hint="eastAsia" w:cs="Times New Roman"/>
                <w:b/>
                <w:bCs/>
                <w:szCs w:val="21"/>
              </w:rPr>
              <w:t xml:space="preserve"> 188</w:t>
            </w:r>
            <w:r>
              <w:rPr>
                <w:rFonts w:cs="Times New Roman"/>
                <w:b/>
                <w:bCs/>
                <w:szCs w:val="21"/>
              </w:rPr>
              <w:t>-2012</w:t>
            </w:r>
          </w:p>
          <w:p w14:paraId="7A5B1E07">
            <w:pPr>
              <w:pStyle w:val="35"/>
              <w:tabs>
                <w:tab w:val="left" w:pos="0"/>
              </w:tabs>
              <w:rPr>
                <w:rFonts w:cs="Times New Roman"/>
                <w:szCs w:val="21"/>
                <w:lang w:val="zh-CN"/>
              </w:rPr>
            </w:pPr>
            <w:r>
              <w:rPr>
                <w:rFonts w:hint="eastAsia" w:cs="Times New Roman"/>
                <w:szCs w:val="21"/>
                <w:lang w:val="zh-CN"/>
              </w:rPr>
              <w:t>4.1.1 透水砖的透水系数不应≤1.0</w:t>
            </w:r>
            <m:oMath>
              <m:r>
                <m:rPr/>
                <w:rPr>
                  <w:rFonts w:ascii="Cambria Math" w:hAnsi="Cambria Math" w:cs="Times New Roman"/>
                  <w:szCs w:val="21"/>
                  <w:lang w:val="zh-CN"/>
                </w:rPr>
                <m:t>×</m:t>
              </m:r>
            </m:oMath>
            <w:r>
              <w:rPr>
                <w:rFonts w:hint="eastAsia" w:cs="Times New Roman"/>
                <w:szCs w:val="21"/>
                <w:lang w:val="zh-CN"/>
              </w:rPr>
              <w:t>10</w:t>
            </w:r>
            <w:r>
              <w:rPr>
                <w:rFonts w:cs="Times New Roman"/>
                <w:sz w:val="22"/>
                <w:szCs w:val="22"/>
                <w:vertAlign w:val="superscript"/>
                <w:lang w:val="zh-CN"/>
              </w:rPr>
              <w:t>-2</w:t>
            </w:r>
            <w:r>
              <w:rPr>
                <w:rFonts w:hint="eastAsia" w:cs="Times New Roman"/>
                <w:szCs w:val="21"/>
                <w:lang w:val="zh-CN"/>
              </w:rPr>
              <w:t>cm/s。</w:t>
            </w:r>
          </w:p>
          <w:p w14:paraId="149BDFDE">
            <w:pPr>
              <w:pStyle w:val="35"/>
              <w:numPr>
                <w:ilvl w:val="255"/>
                <w:numId w:val="0"/>
              </w:numPr>
              <w:tabs>
                <w:tab w:val="left" w:pos="0"/>
              </w:tabs>
              <w:rPr>
                <w:rFonts w:cs="Times New Roman"/>
                <w:szCs w:val="21"/>
                <w:lang w:val="zh-CN"/>
              </w:rPr>
            </w:pPr>
            <w:r>
              <w:rPr>
                <w:rFonts w:hint="eastAsia" w:cs="Times New Roman"/>
                <w:szCs w:val="21"/>
              </w:rPr>
              <w:t>5.7.1 当土基、土壤透水系数及地下水位等条件不满足本规程第3.0.5条的规定及降雨强度超过渗透量及单位储存量时，应增加透水砖路面的排水设计内容</w:t>
            </w:r>
            <w:r>
              <w:rPr>
                <w:rFonts w:cs="Times New Roman"/>
                <w:szCs w:val="21"/>
                <w:lang w:val="zh-CN"/>
              </w:rPr>
              <w:t>。</w:t>
            </w:r>
          </w:p>
          <w:p w14:paraId="3AE7FBB9">
            <w:pPr>
              <w:pStyle w:val="35"/>
              <w:numPr>
                <w:ilvl w:val="255"/>
                <w:numId w:val="0"/>
              </w:numPr>
              <w:tabs>
                <w:tab w:val="left" w:pos="0"/>
              </w:tabs>
              <w:rPr>
                <w:rFonts w:cs="Times New Roman"/>
                <w:b/>
                <w:bCs/>
                <w:i/>
                <w:iCs/>
                <w:szCs w:val="21"/>
                <w:lang w:val="zh-CN"/>
              </w:rPr>
            </w:pPr>
            <w:r>
              <w:rPr>
                <w:rFonts w:hint="eastAsia" w:cs="Times New Roman"/>
                <w:b/>
                <w:bCs/>
                <w:i/>
                <w:iCs/>
                <w:szCs w:val="21"/>
                <w:lang w:val="zh-CN"/>
              </w:rPr>
              <w:t>审查说明：透水铺装面层渗透系数</w:t>
            </w:r>
            <w:r>
              <w:rPr>
                <w:rFonts w:cs="Times New Roman"/>
                <w:b/>
                <w:bCs/>
                <w:i/>
                <w:iCs/>
                <w:szCs w:val="21"/>
              </w:rPr>
              <w:t>应大于1×10</w:t>
            </w:r>
            <w:r>
              <w:rPr>
                <w:rFonts w:cs="Times New Roman"/>
                <w:b/>
                <w:bCs/>
                <w:i/>
                <w:iCs/>
                <w:szCs w:val="21"/>
                <w:vertAlign w:val="superscript"/>
              </w:rPr>
              <w:t>-</w:t>
            </w:r>
            <w:r>
              <w:rPr>
                <w:rFonts w:hint="eastAsia" w:cs="Times New Roman"/>
                <w:b/>
                <w:bCs/>
                <w:i/>
                <w:iCs/>
                <w:szCs w:val="21"/>
                <w:vertAlign w:val="superscript"/>
              </w:rPr>
              <w:t>4</w:t>
            </w:r>
            <w:r>
              <w:rPr>
                <w:rFonts w:cs="Times New Roman"/>
                <w:b/>
                <w:bCs/>
                <w:i/>
                <w:iCs/>
                <w:szCs w:val="21"/>
              </w:rPr>
              <w:t>m/s</w:t>
            </w:r>
            <w:r>
              <w:rPr>
                <w:rFonts w:hint="eastAsia" w:cs="Times New Roman"/>
                <w:b/>
                <w:bCs/>
                <w:i/>
                <w:iCs/>
                <w:szCs w:val="21"/>
              </w:rPr>
              <w:t>，面层以下结构层</w:t>
            </w:r>
            <w:r>
              <w:rPr>
                <w:rFonts w:hint="eastAsia" w:cs="Times New Roman"/>
                <w:b/>
                <w:bCs/>
                <w:i/>
                <w:iCs/>
                <w:szCs w:val="21"/>
                <w:lang w:val="zh-CN"/>
              </w:rPr>
              <w:t>渗透系数</w:t>
            </w:r>
            <w:r>
              <w:rPr>
                <w:rFonts w:cs="Times New Roman"/>
                <w:b/>
                <w:bCs/>
                <w:i/>
                <w:iCs/>
                <w:szCs w:val="21"/>
              </w:rPr>
              <w:t>应大于</w:t>
            </w:r>
            <w:r>
              <w:rPr>
                <w:rFonts w:hint="eastAsia" w:cs="Times New Roman"/>
                <w:b/>
                <w:bCs/>
                <w:i/>
                <w:iCs/>
                <w:szCs w:val="21"/>
              </w:rPr>
              <w:t>面层，确保</w:t>
            </w:r>
            <w:r>
              <w:rPr>
                <w:rFonts w:hint="eastAsia" w:cs="Times New Roman"/>
                <w:b/>
                <w:bCs/>
                <w:i/>
                <w:iCs/>
                <w:szCs w:val="21"/>
                <w:lang w:val="zh-CN"/>
              </w:rPr>
              <w:t>透水铺装整体</w:t>
            </w:r>
            <w:r>
              <w:rPr>
                <w:rFonts w:hint="eastAsia" w:cs="Times New Roman"/>
                <w:b/>
                <w:bCs/>
                <w:i/>
                <w:iCs/>
                <w:szCs w:val="21"/>
              </w:rPr>
              <w:t>渗透能力</w:t>
            </w:r>
            <w:r>
              <w:rPr>
                <w:rFonts w:hint="eastAsia" w:cs="Times New Roman"/>
                <w:b/>
                <w:bCs/>
                <w:i/>
                <w:iCs/>
                <w:szCs w:val="21"/>
                <w:lang w:val="zh-CN"/>
              </w:rPr>
              <w:t>。</w:t>
            </w:r>
          </w:p>
          <w:p w14:paraId="70B0CB42">
            <w:pPr>
              <w:pStyle w:val="35"/>
              <w:numPr>
                <w:ilvl w:val="255"/>
                <w:numId w:val="0"/>
              </w:numPr>
              <w:tabs>
                <w:tab w:val="left" w:pos="0"/>
              </w:tabs>
              <w:rPr>
                <w:rFonts w:cs="Times New Roman"/>
                <w:szCs w:val="21"/>
                <w:lang w:val="zh-CN"/>
              </w:rPr>
            </w:pPr>
          </w:p>
          <w:p w14:paraId="4972A820">
            <w:pPr>
              <w:tabs>
                <w:tab w:val="left" w:pos="0"/>
              </w:tabs>
              <w:ind w:firstLine="0" w:firstLineChars="0"/>
              <w:rPr>
                <w:rFonts w:cs="Times New Roman"/>
                <w:szCs w:val="21"/>
                <w:lang w:val="zh-CN"/>
              </w:rPr>
            </w:pPr>
            <w:r>
              <w:rPr>
                <w:rFonts w:cs="Times New Roman"/>
                <w:b/>
                <w:bCs/>
                <w:szCs w:val="21"/>
              </w:rPr>
              <w:t>《透水沥青路面技术规程》CJJ/T</w:t>
            </w:r>
            <w:r>
              <w:rPr>
                <w:rFonts w:hint="eastAsia" w:cs="Times New Roman"/>
                <w:b/>
                <w:bCs/>
                <w:szCs w:val="21"/>
              </w:rPr>
              <w:t xml:space="preserve"> </w:t>
            </w:r>
            <w:r>
              <w:rPr>
                <w:rFonts w:cs="Times New Roman"/>
                <w:b/>
                <w:bCs/>
                <w:szCs w:val="21"/>
              </w:rPr>
              <w:t>190-2012</w:t>
            </w:r>
          </w:p>
          <w:p w14:paraId="4EA8A4EC">
            <w:pPr>
              <w:pStyle w:val="35"/>
              <w:tabs>
                <w:tab w:val="left" w:pos="0"/>
              </w:tabs>
              <w:rPr>
                <w:rFonts w:cs="Times New Roman" w:eastAsiaTheme="minorEastAsia"/>
                <w:kern w:val="0"/>
                <w:szCs w:val="21"/>
              </w:rPr>
            </w:pPr>
            <w:r>
              <w:rPr>
                <w:rFonts w:hint="eastAsia" w:cs="Times New Roman" w:eastAsiaTheme="minorEastAsia"/>
                <w:kern w:val="0"/>
                <w:szCs w:val="21"/>
              </w:rPr>
              <w:t xml:space="preserve">4.7.1 </w:t>
            </w:r>
            <w:r>
              <w:rPr>
                <w:rFonts w:cs="Times New Roman" w:eastAsiaTheme="minorEastAsia"/>
                <w:kern w:val="0"/>
                <w:szCs w:val="21"/>
              </w:rPr>
              <w:t>透水沥青路面边缘应设置纵向排水</w:t>
            </w:r>
            <w:r>
              <w:rPr>
                <w:rFonts w:hint="eastAsia" w:cs="Times New Roman" w:eastAsiaTheme="minorEastAsia"/>
                <w:kern w:val="0"/>
                <w:szCs w:val="21"/>
              </w:rPr>
              <w:t>设施</w:t>
            </w:r>
            <w:r>
              <w:rPr>
                <w:rFonts w:cs="Times New Roman" w:eastAsiaTheme="minorEastAsia"/>
                <w:kern w:val="0"/>
                <w:szCs w:val="21"/>
              </w:rPr>
              <w:t>，排水能力应满足路面排水要求。</w:t>
            </w:r>
          </w:p>
          <w:p w14:paraId="30009DFF">
            <w:pPr>
              <w:pStyle w:val="35"/>
              <w:tabs>
                <w:tab w:val="left" w:pos="0"/>
              </w:tabs>
              <w:rPr>
                <w:rFonts w:hint="eastAsia" w:cs="Times New Roman"/>
                <w:b/>
                <w:bCs/>
                <w:i/>
                <w:iCs/>
                <w:szCs w:val="21"/>
                <w:lang w:val="zh-CN"/>
              </w:rPr>
            </w:pPr>
            <w:r>
              <w:rPr>
                <w:rFonts w:hint="eastAsia" w:cs="Times New Roman"/>
                <w:b/>
                <w:bCs/>
                <w:i/>
                <w:iCs/>
                <w:szCs w:val="21"/>
                <w:lang w:val="zh-CN"/>
              </w:rPr>
              <w:t>审查说明：</w:t>
            </w:r>
            <w:r>
              <w:rPr>
                <w:rFonts w:hint="eastAsia" w:cs="Times New Roman" w:eastAsiaTheme="minorEastAsia"/>
                <w:b/>
                <w:bCs/>
                <w:i/>
                <w:iCs/>
                <w:kern w:val="0"/>
                <w:szCs w:val="21"/>
              </w:rPr>
              <w:t>透水沥青路面分为表层排水式、半透式与全透式；透水水泥混凝土路面、透水砖路面可分为半透式与全透式。</w:t>
            </w:r>
            <w:r>
              <w:rPr>
                <w:rFonts w:hint="eastAsia" w:cs="Times New Roman"/>
                <w:b/>
                <w:bCs/>
                <w:i/>
                <w:iCs/>
                <w:szCs w:val="21"/>
                <w:lang w:val="zh-CN"/>
              </w:rPr>
              <w:t>当不满足透水铺装</w:t>
            </w:r>
            <w:r>
              <w:rPr>
                <w:rFonts w:hint="eastAsia" w:cs="Times New Roman"/>
                <w:b/>
                <w:bCs/>
                <w:i/>
                <w:iCs/>
                <w:szCs w:val="21"/>
              </w:rPr>
              <w:t>土基层透水系数不应小于1.0</w:t>
            </w:r>
            <w:r>
              <w:rPr>
                <w:rFonts w:cs="Times New Roman"/>
                <w:b/>
                <w:bCs/>
                <w:i/>
                <w:iCs/>
                <w:szCs w:val="21"/>
              </w:rPr>
              <w:t>×</w:t>
            </w:r>
            <w:r>
              <w:rPr>
                <w:rFonts w:hint="eastAsia" w:cs="Times New Roman"/>
                <w:b/>
                <w:bCs/>
                <w:i/>
                <w:iCs/>
                <w:szCs w:val="21"/>
              </w:rPr>
              <w:t>10</w:t>
            </w:r>
            <w:r>
              <w:rPr>
                <w:rFonts w:cs="Times New Roman"/>
                <w:b/>
                <w:bCs/>
                <w:i/>
                <w:iCs/>
                <w:szCs w:val="21"/>
                <w:vertAlign w:val="superscript"/>
              </w:rPr>
              <w:t>-3</w:t>
            </w:r>
            <w:r>
              <w:rPr>
                <w:rFonts w:hint="eastAsia" w:cs="Times New Roman"/>
                <w:b/>
                <w:bCs/>
                <w:i/>
                <w:iCs/>
                <w:szCs w:val="21"/>
              </w:rPr>
              <w:t>mm/s，且土基顶面距离地下水位宜大于1.0m</w:t>
            </w:r>
            <w:r>
              <w:rPr>
                <w:rFonts w:hint="eastAsia" w:cs="Times New Roman"/>
                <w:b/>
                <w:bCs/>
                <w:i/>
                <w:iCs/>
                <w:szCs w:val="21"/>
                <w:lang w:val="zh-CN"/>
              </w:rPr>
              <w:t>要求时，透水铺装应增加排水设计内容，排水能力应满足路面排水要求。</w:t>
            </w:r>
          </w:p>
          <w:p w14:paraId="43C372C6">
            <w:pPr>
              <w:pStyle w:val="35"/>
              <w:tabs>
                <w:tab w:val="left" w:pos="0"/>
              </w:tabs>
              <w:rPr>
                <w:rFonts w:hint="eastAsia" w:cs="Times New Roman" w:eastAsiaTheme="minorEastAsia"/>
                <w:b/>
                <w:bCs/>
                <w:kern w:val="0"/>
                <w:szCs w:val="21"/>
              </w:rPr>
            </w:pPr>
            <w:r>
              <w:rPr>
                <w:rFonts w:hint="eastAsia" w:cs="Times New Roman" w:eastAsiaTheme="minorEastAsia"/>
                <w:b/>
                <w:bCs/>
                <w:i/>
                <w:iCs/>
                <w:kern w:val="0"/>
                <w:szCs w:val="21"/>
              </w:rPr>
              <w:t>上海常用的透水沥青路面有表层排水式和半透式，分别对应现行行业标准《透水沥青路面技术规程》CJJ/T 190-2012中的透水沥青路面Ⅰ型和Ⅱ型，可以根据道路功能区域、交通荷载等情况选择使用。</w:t>
            </w:r>
          </w:p>
        </w:tc>
      </w:tr>
      <w:tr w14:paraId="5956E2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408" w:type="pct"/>
            <w:tcBorders>
              <w:tl2br w:val="nil"/>
              <w:tr2bl w:val="nil"/>
            </w:tcBorders>
            <w:vAlign w:val="center"/>
          </w:tcPr>
          <w:p w14:paraId="5494E5C9">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6F4024D6">
            <w:pPr>
              <w:spacing w:line="240" w:lineRule="auto"/>
              <w:ind w:firstLine="0" w:firstLineChars="0"/>
              <w:contextualSpacing/>
              <w:jc w:val="center"/>
              <w:rPr>
                <w:bCs/>
                <w:kern w:val="0"/>
                <w:szCs w:val="21"/>
              </w:rPr>
            </w:pPr>
            <w:r>
              <w:rPr>
                <w:rFonts w:hint="eastAsia"/>
                <w:bCs/>
                <w:kern w:val="0"/>
                <w:szCs w:val="21"/>
              </w:rPr>
              <w:t>雨水调蓄池、调蓄模块</w:t>
            </w:r>
          </w:p>
        </w:tc>
        <w:tc>
          <w:tcPr>
            <w:tcW w:w="3953" w:type="pct"/>
            <w:tcBorders>
              <w:tl2br w:val="nil"/>
              <w:tr2bl w:val="nil"/>
            </w:tcBorders>
            <w:vAlign w:val="bottom"/>
          </w:tcPr>
          <w:p w14:paraId="0AD21743">
            <w:pPr>
              <w:tabs>
                <w:tab w:val="left" w:pos="0"/>
              </w:tabs>
              <w:ind w:firstLine="0" w:firstLineChars="0"/>
              <w:rPr>
                <w:rFonts w:cs="Times New Roman" w:eastAsiaTheme="minorEastAsia"/>
                <w:b/>
                <w:bCs/>
                <w:szCs w:val="21"/>
                <w:shd w:val="clear" w:color="auto" w:fill="FFFFFF"/>
              </w:rPr>
            </w:pPr>
            <w:bookmarkStart w:id="67" w:name="OLE_LINK1"/>
            <w:r>
              <w:rPr>
                <w:rFonts w:cs="Times New Roman" w:eastAsiaTheme="minorEastAsia"/>
                <w:b/>
                <w:bCs/>
                <w:szCs w:val="21"/>
                <w:shd w:val="clear" w:color="auto" w:fill="FFFFFF"/>
              </w:rPr>
              <w:t>《建筑与小区雨水控制及利用工程技术规范》GB 50400-2016</w:t>
            </w:r>
          </w:p>
          <w:p w14:paraId="38D32002">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7.1.6 蓄水池、清水池应设溢流管和通气管，并应设防虫措施。</w:t>
            </w:r>
          </w:p>
          <w:p w14:paraId="167FCF2F">
            <w:pPr>
              <w:pStyle w:val="35"/>
              <w:tabs>
                <w:tab w:val="left" w:pos="420"/>
              </w:tabs>
            </w:pPr>
            <w:r>
              <w:rPr>
                <w:rFonts w:hint="eastAsia"/>
              </w:rPr>
              <w:t>7.2.2 蓄水池应设检查口或人孔，附近宜设给水栓和排水泵电源。室外地下蓄水池（罐）的人孔、检查口应设置防止人员落入水中的双层井盖或带有防坠网的井盖。</w:t>
            </w:r>
          </w:p>
          <w:bookmarkEnd w:id="67"/>
          <w:p w14:paraId="403C0B7A">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7.2.3 雨水储存设施应设有溢流排水措施，溢流排水宜采用重力溢流排放。室内蓄水池的重力溢流管排水能力应大于50年雨水设计重现期设计流量。</w:t>
            </w:r>
          </w:p>
          <w:p w14:paraId="5A911325">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 xml:space="preserve">7.2.5 </w:t>
            </w:r>
            <w:r>
              <w:rPr>
                <w:rFonts w:cs="Times New Roman" w:eastAsiaTheme="minorEastAsia"/>
                <w:szCs w:val="21"/>
                <w:shd w:val="clear" w:color="auto" w:fill="FFFFFF"/>
              </w:rPr>
              <w:t>当</w:t>
            </w:r>
            <w:r>
              <w:rPr>
                <w:rFonts w:hint="eastAsia" w:cs="Times New Roman" w:eastAsiaTheme="minorEastAsia"/>
                <w:szCs w:val="21"/>
                <w:shd w:val="clear" w:color="auto" w:fill="FFFFFF"/>
              </w:rPr>
              <w:t>调</w:t>
            </w:r>
            <w:r>
              <w:rPr>
                <w:rFonts w:cs="Times New Roman" w:eastAsiaTheme="minorEastAsia"/>
                <w:szCs w:val="21"/>
                <w:shd w:val="clear" w:color="auto" w:fill="FFFFFF"/>
              </w:rPr>
              <w:t>蓄水池因条件限制必须设在室内且溢流口低于室外地面时，应符合下列规定：</w:t>
            </w:r>
          </w:p>
          <w:p w14:paraId="0A986BC1">
            <w:pPr>
              <w:tabs>
                <w:tab w:val="left" w:pos="0"/>
              </w:tabs>
              <w:ind w:firstLine="420"/>
              <w:rPr>
                <w:rFonts w:cs="Times New Roman" w:eastAsiaTheme="minorEastAsia"/>
                <w:szCs w:val="21"/>
                <w:shd w:val="clear" w:color="auto" w:fill="FFFFFF"/>
              </w:rPr>
            </w:pPr>
            <w:r>
              <w:rPr>
                <w:rFonts w:hint="eastAsia" w:cs="Times New Roman" w:eastAsiaTheme="minorEastAsia"/>
                <w:szCs w:val="21"/>
                <w:shd w:val="clear" w:color="auto" w:fill="FFFFFF"/>
              </w:rPr>
              <w:t>1 应设置自动提升设备排除溢流雨水，溢流提升设备的排水标准应按50年降雨重现期5min降雨强度设计，且不得小于集雨屋面设计重现期降雨强度。</w:t>
            </w:r>
          </w:p>
          <w:p w14:paraId="146A8184">
            <w:pPr>
              <w:tabs>
                <w:tab w:val="left" w:pos="0"/>
              </w:tabs>
              <w:ind w:firstLine="420"/>
              <w:rPr>
                <w:rFonts w:cs="Times New Roman" w:eastAsiaTheme="minorEastAsia"/>
                <w:szCs w:val="21"/>
                <w:shd w:val="clear" w:color="auto" w:fill="FFFFFF"/>
              </w:rPr>
            </w:pPr>
            <w:r>
              <w:rPr>
                <w:rFonts w:hint="eastAsia" w:cs="Times New Roman" w:eastAsiaTheme="minorEastAsia"/>
                <w:szCs w:val="21"/>
                <w:shd w:val="clear" w:color="auto" w:fill="FFFFFF"/>
              </w:rPr>
              <w:t>3 进蓄水池的雨水管应设超越管，且应重力排水。</w:t>
            </w:r>
          </w:p>
          <w:p w14:paraId="54F7537C">
            <w:pPr>
              <w:ind w:firstLine="0" w:firstLineChars="0"/>
              <w:rPr>
                <w:szCs w:val="21"/>
              </w:rPr>
            </w:pPr>
            <w:r>
              <w:rPr>
                <w:rFonts w:hint="eastAsia"/>
                <w:szCs w:val="21"/>
              </w:rPr>
              <w:t>7.2.7</w:t>
            </w:r>
            <w:r>
              <w:rPr>
                <w:rFonts w:hint="eastAsia"/>
                <w:szCs w:val="21"/>
                <w:lang w:val="en-US" w:eastAsia="zh-CN"/>
              </w:rPr>
              <w:t xml:space="preserve"> </w:t>
            </w:r>
            <w:r>
              <w:rPr>
                <w:rFonts w:hint="eastAsia"/>
                <w:szCs w:val="21"/>
              </w:rPr>
              <w:t>钢筋混凝土蓄水池应符合下列规定:</w:t>
            </w:r>
          </w:p>
          <w:p w14:paraId="2F4A8E2B">
            <w:pPr>
              <w:ind w:firstLine="420"/>
              <w:rPr>
                <w:szCs w:val="21"/>
              </w:rPr>
            </w:pPr>
            <w:r>
              <w:rPr>
                <w:rFonts w:hint="eastAsia"/>
                <w:szCs w:val="21"/>
              </w:rPr>
              <w:t>1</w:t>
            </w:r>
            <w:r>
              <w:rPr>
                <w:rFonts w:hint="eastAsia"/>
                <w:szCs w:val="21"/>
                <w:lang w:val="en-US" w:eastAsia="zh-CN"/>
              </w:rPr>
              <w:t xml:space="preserve"> </w:t>
            </w:r>
            <w:r>
              <w:rPr>
                <w:rFonts w:hint="eastAsia"/>
                <w:szCs w:val="21"/>
              </w:rPr>
              <w:t>池底应设集泥坑和吸水坑；当蓄水池分格时，每格应设检查口和集泥坑；</w:t>
            </w:r>
          </w:p>
          <w:p w14:paraId="5A3CE475">
            <w:pPr>
              <w:ind w:firstLine="420"/>
              <w:rPr>
                <w:szCs w:val="21"/>
              </w:rPr>
            </w:pPr>
            <w:r>
              <w:rPr>
                <w:rFonts w:hint="eastAsia"/>
                <w:szCs w:val="21"/>
              </w:rPr>
              <w:t>2 池底应设不小于5%的坡度坡向集泥坑；</w:t>
            </w:r>
          </w:p>
          <w:p w14:paraId="6D15385D">
            <w:pPr>
              <w:ind w:firstLine="420"/>
              <w:rPr>
                <w:szCs w:val="21"/>
              </w:rPr>
            </w:pPr>
            <w:r>
              <w:rPr>
                <w:rFonts w:hint="eastAsia"/>
                <w:szCs w:val="21"/>
              </w:rPr>
              <w:t>3 池底应设排泥设施；当不具备设置排泥设施或排泥确有困难时，应设置冲洗设施，冲洗水源宜采用池水，并应与自动控制系统联动。</w:t>
            </w:r>
          </w:p>
          <w:p w14:paraId="62203C26">
            <w:pPr>
              <w:ind w:firstLine="0" w:firstLineChars="0"/>
              <w:rPr>
                <w:szCs w:val="21"/>
              </w:rPr>
            </w:pPr>
            <w:r>
              <w:rPr>
                <w:rFonts w:hint="eastAsia"/>
                <w:szCs w:val="21"/>
              </w:rPr>
              <w:t>7.2.8 塑料模块和硅砂砌块组合蓄水池应符合下列规定：</w:t>
            </w:r>
          </w:p>
          <w:p w14:paraId="09B05B18">
            <w:pPr>
              <w:ind w:firstLine="420"/>
              <w:rPr>
                <w:szCs w:val="21"/>
              </w:rPr>
            </w:pPr>
            <w:r>
              <w:rPr>
                <w:rFonts w:hint="eastAsia"/>
                <w:szCs w:val="21"/>
              </w:rPr>
              <w:t>2</w:t>
            </w:r>
            <w:r>
              <w:rPr>
                <w:rFonts w:hint="eastAsia"/>
                <w:szCs w:val="21"/>
                <w:lang w:val="en-US" w:eastAsia="zh-CN"/>
              </w:rPr>
              <w:t xml:space="preserve"> </w:t>
            </w:r>
            <w:r>
              <w:rPr>
                <w:rFonts w:hint="eastAsia"/>
                <w:szCs w:val="21"/>
              </w:rPr>
              <w:t>外层应采用不透水土工膜或性能相同的材料包覆；</w:t>
            </w:r>
          </w:p>
          <w:p w14:paraId="4DA360AA">
            <w:pPr>
              <w:ind w:firstLine="420"/>
              <w:rPr>
                <w:szCs w:val="21"/>
              </w:rPr>
            </w:pPr>
            <w:r>
              <w:rPr>
                <w:rFonts w:hint="eastAsia"/>
                <w:szCs w:val="21"/>
              </w:rPr>
              <w:t>3 池内构造应便于清除沉积泥沙；</w:t>
            </w:r>
          </w:p>
          <w:p w14:paraId="0FC03566">
            <w:pPr>
              <w:ind w:firstLine="420"/>
              <w:rPr>
                <w:szCs w:val="21"/>
              </w:rPr>
            </w:pPr>
            <w:r>
              <w:rPr>
                <w:rFonts w:hint="eastAsia"/>
                <w:szCs w:val="21"/>
              </w:rPr>
              <w:t>4 兼具过滤功能时应能进行过滤沉积物的清除；</w:t>
            </w:r>
          </w:p>
          <w:p w14:paraId="5BCD4326">
            <w:pPr>
              <w:ind w:firstLine="420"/>
              <w:rPr>
                <w:szCs w:val="21"/>
              </w:rPr>
            </w:pPr>
          </w:p>
          <w:p w14:paraId="6C95F260">
            <w:pPr>
              <w:pStyle w:val="35"/>
              <w:tabs>
                <w:tab w:val="left" w:pos="420"/>
              </w:tabs>
              <w:rPr>
                <w:rFonts w:cs="Times New Roman"/>
                <w:b/>
                <w:bCs/>
                <w:szCs w:val="21"/>
              </w:rPr>
            </w:pPr>
            <w:r>
              <w:rPr>
                <w:rFonts w:cs="Times New Roman"/>
                <w:b/>
                <w:bCs/>
                <w:szCs w:val="21"/>
              </w:rPr>
              <w:t>《海绵城市规划与设计标准》DG/TJ 08-2298-2026</w:t>
            </w:r>
          </w:p>
          <w:p w14:paraId="4F804A74">
            <w:pPr>
              <w:pStyle w:val="35"/>
              <w:tabs>
                <w:tab w:val="left" w:pos="0"/>
              </w:tabs>
            </w:pPr>
            <w:r>
              <w:rPr>
                <w:rFonts w:hint="eastAsia"/>
              </w:rPr>
              <w:t>6.4.18 浅层调蓄设施的设计应符合下列规定：</w:t>
            </w:r>
          </w:p>
          <w:p w14:paraId="07B52E78">
            <w:pPr>
              <w:pStyle w:val="35"/>
              <w:tabs>
                <w:tab w:val="left" w:pos="0"/>
              </w:tabs>
              <w:ind w:firstLine="420" w:firstLineChars="200"/>
            </w:pPr>
            <w:r>
              <w:rPr>
                <w:rFonts w:hint="eastAsia"/>
              </w:rPr>
              <w:t>4 应设置出水管、进水井、排泥井、溢流口等设施，放空时间不宜大于24h。</w:t>
            </w:r>
          </w:p>
          <w:p w14:paraId="4CC45B67">
            <w:pPr>
              <w:ind w:firstLine="420"/>
            </w:pPr>
            <w:r>
              <w:rPr>
                <w:rFonts w:hint="eastAsia"/>
              </w:rPr>
              <w:t>5 应具有排泥的功能。</w:t>
            </w:r>
          </w:p>
          <w:p w14:paraId="23F365E5">
            <w:pPr>
              <w:ind w:firstLine="0" w:firstLineChars="0"/>
              <w:rPr>
                <w:b/>
                <w:bCs/>
                <w:i/>
                <w:iCs/>
              </w:rPr>
            </w:pPr>
            <w:r>
              <w:rPr>
                <w:rFonts w:hint="eastAsia"/>
                <w:b/>
                <w:bCs/>
                <w:i/>
                <w:iCs/>
              </w:rPr>
              <w:t>审查说明：各类雨水调蓄池应考虑排泥措施，可采用重力排泥、水力自动冲洗排泥、排泥泵排泥等措施，避免因淤泥淤积导致调蓄容积逐年减小。</w:t>
            </w:r>
          </w:p>
          <w:p w14:paraId="4B98D61C">
            <w:pPr>
              <w:ind w:firstLine="0" w:firstLineChars="0"/>
              <w:rPr>
                <w:b/>
                <w:bCs/>
                <w:i/>
                <w:iCs/>
              </w:rPr>
            </w:pPr>
          </w:p>
          <w:p w14:paraId="415ADACC">
            <w:pPr>
              <w:tabs>
                <w:tab w:val="left" w:pos="0"/>
              </w:tabs>
              <w:ind w:firstLine="0" w:firstLineChars="0"/>
              <w:rPr>
                <w:b/>
                <w:bCs/>
                <w:i/>
                <w:iCs/>
              </w:rPr>
            </w:pPr>
            <w:r>
              <w:rPr>
                <w:rFonts w:cs="Times New Roman" w:eastAsiaTheme="minorEastAsia"/>
                <w:b/>
                <w:bCs/>
                <w:szCs w:val="21"/>
                <w:shd w:val="clear" w:color="auto" w:fill="FFFFFF"/>
              </w:rPr>
              <w:t>《建筑与小区雨水控制及利用工程技术规范》GB 50400-2016</w:t>
            </w:r>
          </w:p>
          <w:p w14:paraId="558889CB">
            <w:pPr>
              <w:ind w:firstLine="0" w:firstLineChars="0"/>
            </w:pPr>
            <w:r>
              <w:rPr>
                <w:rFonts w:hint="eastAsia"/>
              </w:rPr>
              <w:t>7.2.10 当蓄水池的有效容积大于雨水回用系统最高日用水量的3倍时，应设能12h排空雨水的装置。</w:t>
            </w:r>
          </w:p>
          <w:p w14:paraId="1204B315">
            <w:pPr>
              <w:ind w:firstLine="0" w:firstLineChars="0"/>
              <w:rPr>
                <w:rFonts w:hint="eastAsia"/>
                <w:b/>
                <w:bCs/>
                <w:i/>
                <w:iCs/>
              </w:rPr>
            </w:pPr>
            <w:r>
              <w:rPr>
                <w:rFonts w:hint="eastAsia"/>
                <w:b/>
                <w:bCs/>
                <w:i/>
                <w:iCs/>
              </w:rPr>
              <w:t>审查说明：各类雨水调蓄池采用水泵抽排时，应明确水泵参数、控制方式、启闭液位等具体要求，确保蓄水池可在要求时间内排空。</w:t>
            </w:r>
          </w:p>
        </w:tc>
      </w:tr>
      <w:tr w14:paraId="78C840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408" w:type="pct"/>
            <w:tcBorders>
              <w:tl2br w:val="nil"/>
              <w:tr2bl w:val="nil"/>
            </w:tcBorders>
            <w:vAlign w:val="center"/>
          </w:tcPr>
          <w:p w14:paraId="7547B8D2">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5B8A5523">
            <w:pPr>
              <w:spacing w:line="240" w:lineRule="auto"/>
              <w:ind w:firstLine="0" w:firstLineChars="0"/>
              <w:contextualSpacing/>
              <w:jc w:val="center"/>
              <w:rPr>
                <w:bCs/>
                <w:kern w:val="0"/>
                <w:szCs w:val="21"/>
              </w:rPr>
            </w:pPr>
            <w:r>
              <w:rPr>
                <w:rFonts w:hint="eastAsia"/>
                <w:bCs/>
                <w:kern w:val="0"/>
                <w:szCs w:val="21"/>
              </w:rPr>
              <w:t>湿塘及雨水湿地</w:t>
            </w:r>
          </w:p>
        </w:tc>
        <w:tc>
          <w:tcPr>
            <w:tcW w:w="3953" w:type="pct"/>
            <w:tcBorders>
              <w:tl2br w:val="nil"/>
              <w:tr2bl w:val="nil"/>
            </w:tcBorders>
            <w:vAlign w:val="center"/>
          </w:tcPr>
          <w:p w14:paraId="64F0FB80">
            <w:pPr>
              <w:numPr>
                <w:ilvl w:val="255"/>
                <w:numId w:val="0"/>
              </w:numPr>
              <w:tabs>
                <w:tab w:val="left" w:pos="0"/>
              </w:tabs>
              <w:rPr>
                <w:rFonts w:cs="Times New Roman" w:eastAsiaTheme="minorEastAsia"/>
                <w:bCs/>
                <w:kern w:val="0"/>
                <w:szCs w:val="21"/>
              </w:rPr>
            </w:pPr>
            <w:r>
              <w:rPr>
                <w:rFonts w:cs="Times New Roman"/>
                <w:b/>
                <w:bCs/>
                <w:szCs w:val="21"/>
              </w:rPr>
              <w:t>《海绵城市规划与设计标准》DG/TJ 08-2298-2026</w:t>
            </w:r>
          </w:p>
          <w:p w14:paraId="0BED4AE6">
            <w:pPr>
              <w:pStyle w:val="35"/>
              <w:tabs>
                <w:tab w:val="left" w:pos="420"/>
              </w:tabs>
              <w:rPr>
                <w:rFonts w:cs="Times New Roman" w:eastAsiaTheme="minorEastAsia"/>
                <w:kern w:val="0"/>
                <w:szCs w:val="21"/>
              </w:rPr>
            </w:pPr>
            <w:r>
              <w:rPr>
                <w:rFonts w:hint="eastAsia" w:cs="Times New Roman" w:eastAsiaTheme="minorEastAsia"/>
                <w:kern w:val="0"/>
                <w:szCs w:val="21"/>
              </w:rPr>
              <w:t>6.4.24 湿塘的设计应符合下列规定:</w:t>
            </w:r>
          </w:p>
          <w:p w14:paraId="295F1486">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3 接纳汇水区径流处，应设置消能设施；并应设置缓冲区，可采用碎石或水生植物种植等方式。</w:t>
            </w:r>
          </w:p>
          <w:p w14:paraId="3FA330A5">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4 湿塘的出水口应设置溢流竖管和溢洪道，排水能力应根据下游雨水排水系统的排水能力确定，且调蓄水量应在24h~48h内排空。</w:t>
            </w:r>
          </w:p>
          <w:p w14:paraId="4E9E1108">
            <w:pPr>
              <w:pStyle w:val="35"/>
              <w:tabs>
                <w:tab w:val="left" w:pos="420"/>
              </w:tabs>
              <w:rPr>
                <w:rFonts w:cs="Times New Roman" w:eastAsiaTheme="minorEastAsia"/>
                <w:kern w:val="0"/>
                <w:szCs w:val="21"/>
              </w:rPr>
            </w:pPr>
            <w:r>
              <w:rPr>
                <w:rFonts w:hint="eastAsia" w:cs="Times New Roman" w:eastAsiaTheme="minorEastAsia"/>
                <w:kern w:val="0"/>
                <w:szCs w:val="21"/>
              </w:rPr>
              <w:t>6.4.25</w:t>
            </w:r>
            <w:r>
              <w:rPr>
                <w:rFonts w:hint="eastAsia" w:cs="Times New Roman" w:eastAsiaTheme="minorEastAsia"/>
                <w:kern w:val="0"/>
                <w:szCs w:val="21"/>
                <w:lang w:val="en-US" w:eastAsia="zh-CN"/>
              </w:rPr>
              <w:t xml:space="preserve"> </w:t>
            </w:r>
            <w:r>
              <w:rPr>
                <w:rFonts w:hint="eastAsia" w:cs="Times New Roman" w:eastAsiaTheme="minorEastAsia"/>
                <w:kern w:val="0"/>
                <w:szCs w:val="21"/>
              </w:rPr>
              <w:t>人工湿地的设计应符合下列规定:</w:t>
            </w:r>
          </w:p>
          <w:p w14:paraId="21004B21">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2 潜流人工湿地内部应设置填料，填料层厚度宜为0.5m~1.0m，填料类型宜根据实际需求选择砾石、沸石等材料，水力停留时间宜为0.8d~2d，水力坡度宜为0.5%~1.0%。</w:t>
            </w:r>
          </w:p>
          <w:p w14:paraId="234F080F">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3 植物品种应选择具有耐污能力的当地适生湿生植物。</w:t>
            </w:r>
          </w:p>
          <w:p w14:paraId="29F4DD79">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4 颗粒物负荷较高的初期降雨径流应设置前置塘。</w:t>
            </w:r>
          </w:p>
          <w:p w14:paraId="31E14360">
            <w:pPr>
              <w:pStyle w:val="35"/>
              <w:tabs>
                <w:tab w:val="left" w:pos="420"/>
              </w:tabs>
              <w:ind w:firstLine="420" w:firstLineChars="200"/>
              <w:rPr>
                <w:rFonts w:cs="Times New Roman" w:eastAsiaTheme="minorEastAsia"/>
                <w:kern w:val="0"/>
                <w:szCs w:val="21"/>
              </w:rPr>
            </w:pPr>
          </w:p>
          <w:p w14:paraId="29E27A3D">
            <w:pPr>
              <w:tabs>
                <w:tab w:val="left" w:pos="0"/>
              </w:tabs>
              <w:ind w:firstLine="0" w:firstLineChars="0"/>
              <w:rPr>
                <w:szCs w:val="21"/>
              </w:rPr>
            </w:pPr>
            <w:r>
              <w:rPr>
                <w:rFonts w:cs="Times New Roman" w:eastAsiaTheme="minorEastAsia"/>
                <w:b/>
                <w:bCs/>
                <w:szCs w:val="21"/>
                <w:shd w:val="clear" w:color="auto" w:fill="FFFFFF"/>
              </w:rPr>
              <w:t>《建筑与小区雨水控制及利用工程技术规范》GB 50400-2016</w:t>
            </w:r>
          </w:p>
          <w:p w14:paraId="7078511F">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7.2.9 景观水体和湿塘用于储存雨水时，应符合下列规定：</w:t>
            </w:r>
          </w:p>
          <w:p w14:paraId="52CCFFBB">
            <w:pPr>
              <w:numPr>
                <w:ilvl w:val="0"/>
                <w:numId w:val="0"/>
              </w:numPr>
              <w:tabs>
                <w:tab w:val="left" w:pos="0"/>
              </w:tabs>
              <w:autoSpaceDE w:val="0"/>
              <w:autoSpaceDN w:val="0"/>
              <w:adjustRightInd w:val="0"/>
              <w:ind w:firstLine="420"/>
              <w:jc w:val="left"/>
              <w:rPr>
                <w:rFonts w:cs="Times New Roman" w:eastAsiaTheme="minorEastAsia"/>
                <w:szCs w:val="21"/>
                <w:shd w:val="clear" w:color="auto" w:fill="FFFFFF"/>
              </w:rPr>
            </w:pPr>
            <w:r>
              <w:rPr>
                <w:rFonts w:hint="default" w:ascii="Times New Roman" w:hAnsi="Times New Roman" w:eastAsia="宋体" w:cs="Times New Roman"/>
                <w:b w:val="0"/>
                <w:bCs w:val="0"/>
                <w:i w:val="0"/>
                <w:kern w:val="2"/>
                <w:sz w:val="21"/>
                <w:szCs w:val="21"/>
                <w:highlight w:val="none"/>
                <w:shd w:val="clear" w:fill="FFFFFF"/>
                <w:lang w:val="en-US" w:eastAsia="zh-CN" w:bidi="ar-SA"/>
              </w:rPr>
              <w:t>1</w:t>
            </w:r>
            <w:r>
              <w:rPr>
                <w:rFonts w:hint="eastAsia" w:cs="Times New Roman"/>
                <w:b w:val="0"/>
                <w:bCs w:val="0"/>
                <w:i w:val="0"/>
                <w:kern w:val="2"/>
                <w:sz w:val="21"/>
                <w:szCs w:val="21"/>
                <w:highlight w:val="none"/>
                <w:shd w:val="clear" w:fill="FFFFFF"/>
                <w:lang w:val="en-US" w:eastAsia="zh-CN" w:bidi="ar-SA"/>
              </w:rPr>
              <w:t xml:space="preserve"> </w:t>
            </w:r>
            <w:r>
              <w:rPr>
                <w:rFonts w:hint="eastAsia" w:cs="Times New Roman" w:eastAsiaTheme="minorEastAsia"/>
                <w:szCs w:val="21"/>
                <w:shd w:val="clear" w:color="auto" w:fill="FFFFFF"/>
              </w:rPr>
              <w:t>储存雨水的有效容积应为景观设计水位或湿塘常水位与溢流水位之间的容积。</w:t>
            </w:r>
          </w:p>
          <w:p w14:paraId="1D7B9150">
            <w:pPr>
              <w:tabs>
                <w:tab w:val="left" w:pos="0"/>
              </w:tabs>
              <w:ind w:firstLine="0" w:firstLineChars="0"/>
              <w:rPr>
                <w:rFonts w:cs="Times New Roman" w:eastAsiaTheme="minorEastAsia"/>
                <w:szCs w:val="21"/>
                <w:shd w:val="clear" w:color="auto" w:fill="FFFFFF"/>
              </w:rPr>
            </w:pPr>
            <w:r>
              <w:rPr>
                <w:rFonts w:hint="eastAsia" w:cs="Times New Roman" w:eastAsiaTheme="minorEastAsia"/>
                <w:szCs w:val="21"/>
                <w:shd w:val="clear" w:color="auto" w:fill="FFFFFF"/>
              </w:rPr>
              <w:t>9.0.9 景观水体和湿塘用于调蓄雨水时，应符合下列规定：</w:t>
            </w:r>
          </w:p>
          <w:p w14:paraId="28825E84">
            <w:pPr>
              <w:numPr>
                <w:ilvl w:val="0"/>
                <w:numId w:val="0"/>
              </w:numPr>
              <w:tabs>
                <w:tab w:val="left" w:pos="0"/>
              </w:tabs>
              <w:autoSpaceDE w:val="0"/>
              <w:autoSpaceDN w:val="0"/>
              <w:adjustRightInd w:val="0"/>
              <w:ind w:firstLine="420"/>
              <w:jc w:val="left"/>
              <w:rPr>
                <w:rFonts w:cs="Times New Roman" w:eastAsiaTheme="minorEastAsia"/>
                <w:szCs w:val="21"/>
                <w:shd w:val="clear" w:color="auto" w:fill="FFFFFF"/>
              </w:rPr>
            </w:pPr>
            <w:r>
              <w:rPr>
                <w:rFonts w:hint="default" w:ascii="Times New Roman" w:hAnsi="Times New Roman" w:eastAsia="宋体" w:cs="Times New Roman"/>
                <w:b w:val="0"/>
                <w:bCs w:val="0"/>
                <w:i w:val="0"/>
                <w:kern w:val="2"/>
                <w:sz w:val="21"/>
                <w:szCs w:val="21"/>
                <w:shd w:val="clear" w:fill="FFFFFF"/>
                <w:lang w:val="en-US" w:eastAsia="zh-CN" w:bidi="ar-SA"/>
              </w:rPr>
              <w:t>1</w:t>
            </w:r>
            <w:r>
              <w:rPr>
                <w:rFonts w:hint="eastAsia" w:cs="Times New Roman"/>
                <w:b w:val="0"/>
                <w:bCs w:val="0"/>
                <w:i w:val="0"/>
                <w:kern w:val="2"/>
                <w:sz w:val="21"/>
                <w:szCs w:val="21"/>
                <w:shd w:val="clear" w:fill="FFFFFF"/>
                <w:lang w:val="en-US" w:eastAsia="zh-CN" w:bidi="ar-SA"/>
              </w:rPr>
              <w:t xml:space="preserve"> </w:t>
            </w:r>
            <w:r>
              <w:rPr>
                <w:rFonts w:hint="eastAsia" w:cs="Times New Roman" w:eastAsiaTheme="minorEastAsia"/>
                <w:szCs w:val="21"/>
                <w:shd w:val="clear" w:color="auto" w:fill="FFFFFF"/>
              </w:rPr>
              <w:t>在景观设计水位和湿塘常水位的上方应设置调蓄雨水的空间。</w:t>
            </w:r>
          </w:p>
          <w:p w14:paraId="2C70A720">
            <w:pPr>
              <w:pStyle w:val="35"/>
              <w:tabs>
                <w:tab w:val="left" w:pos="0"/>
              </w:tabs>
              <w:rPr>
                <w:szCs w:val="21"/>
              </w:rPr>
            </w:pPr>
            <w:r>
              <w:rPr>
                <w:rFonts w:hint="eastAsia"/>
                <w:b/>
                <w:bCs/>
                <w:i/>
                <w:iCs/>
              </w:rPr>
              <w:t>审查说明：景观设计水位或湿塘常水位以下的蓄水容积正常情况下均保持存水状态，因此不能计入雨水调蓄容积。</w:t>
            </w:r>
          </w:p>
        </w:tc>
      </w:tr>
      <w:tr w14:paraId="6756C34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08" w:type="pct"/>
            <w:tcBorders>
              <w:tl2br w:val="nil"/>
              <w:tr2bl w:val="nil"/>
            </w:tcBorders>
            <w:vAlign w:val="center"/>
          </w:tcPr>
          <w:p w14:paraId="356AF1EF">
            <w:pPr>
              <w:widowControl/>
              <w:numPr>
                <w:ilvl w:val="0"/>
                <w:numId w:val="4"/>
              </w:numPr>
              <w:spacing w:line="240" w:lineRule="auto"/>
              <w:ind w:left="0" w:firstLineChars="0"/>
              <w:contextualSpacing/>
              <w:jc w:val="center"/>
              <w:rPr>
                <w:rFonts w:eastAsia="黑体"/>
                <w:bCs/>
                <w:kern w:val="0"/>
                <w:szCs w:val="21"/>
              </w:rPr>
            </w:pPr>
          </w:p>
        </w:tc>
        <w:tc>
          <w:tcPr>
            <w:tcW w:w="638" w:type="pct"/>
            <w:tcBorders>
              <w:tl2br w:val="nil"/>
              <w:tr2bl w:val="nil"/>
            </w:tcBorders>
            <w:vAlign w:val="center"/>
          </w:tcPr>
          <w:p w14:paraId="62D0223B">
            <w:pPr>
              <w:spacing w:line="240" w:lineRule="auto"/>
              <w:ind w:firstLine="0" w:firstLineChars="0"/>
              <w:contextualSpacing/>
              <w:jc w:val="center"/>
              <w:rPr>
                <w:bCs/>
                <w:kern w:val="0"/>
                <w:szCs w:val="21"/>
              </w:rPr>
            </w:pPr>
            <w:r>
              <w:rPr>
                <w:rFonts w:hint="eastAsia"/>
                <w:bCs/>
                <w:kern w:val="0"/>
                <w:szCs w:val="21"/>
              </w:rPr>
              <w:t>雨水资源化利用</w:t>
            </w:r>
          </w:p>
        </w:tc>
        <w:tc>
          <w:tcPr>
            <w:tcW w:w="3953" w:type="pct"/>
            <w:tcBorders>
              <w:tl2br w:val="nil"/>
              <w:tr2bl w:val="nil"/>
            </w:tcBorders>
            <w:vAlign w:val="center"/>
          </w:tcPr>
          <w:p w14:paraId="65BE2B6A">
            <w:pPr>
              <w:numPr>
                <w:ilvl w:val="255"/>
                <w:numId w:val="0"/>
              </w:numPr>
              <w:tabs>
                <w:tab w:val="left" w:pos="0"/>
              </w:tabs>
              <w:rPr>
                <w:rFonts w:cs="Times New Roman" w:eastAsiaTheme="minorEastAsia"/>
                <w:bCs/>
                <w:kern w:val="0"/>
                <w:szCs w:val="21"/>
              </w:rPr>
            </w:pPr>
            <w:r>
              <w:rPr>
                <w:rFonts w:cs="Times New Roman"/>
                <w:b/>
                <w:bCs/>
                <w:szCs w:val="21"/>
              </w:rPr>
              <w:t>《海绵城市规划与设计标准》DG/TJ08-2298-2026</w:t>
            </w:r>
          </w:p>
          <w:p w14:paraId="4B94769F">
            <w:pPr>
              <w:ind w:firstLine="0" w:firstLineChars="0"/>
              <w:rPr>
                <w:szCs w:val="21"/>
              </w:rPr>
            </w:pPr>
            <w:r>
              <w:rPr>
                <w:rFonts w:hint="eastAsia"/>
                <w:szCs w:val="21"/>
              </w:rPr>
              <w:t>4.0.13 规划用地面积2hm</w:t>
            </w:r>
            <w:r>
              <w:rPr>
                <w:rFonts w:hint="eastAsia"/>
                <w:szCs w:val="21"/>
                <w:vertAlign w:val="superscript"/>
              </w:rPr>
              <w:t>2</w:t>
            </w:r>
            <w:r>
              <w:rPr>
                <w:rFonts w:hint="eastAsia"/>
                <w:szCs w:val="21"/>
              </w:rPr>
              <w:t>以上的新建公建应配套建设雨水收集利用设施。</w:t>
            </w:r>
          </w:p>
          <w:p w14:paraId="199787EF">
            <w:pPr>
              <w:ind w:firstLine="0" w:firstLineChars="0"/>
              <w:rPr>
                <w:rFonts w:cs="Times New Roman"/>
                <w:b/>
                <w:bCs/>
                <w:i/>
                <w:iCs/>
                <w:szCs w:val="21"/>
              </w:rPr>
            </w:pPr>
            <w:r>
              <w:rPr>
                <w:rFonts w:hint="eastAsia" w:cs="Times New Roman"/>
                <w:b/>
                <w:bCs/>
                <w:i/>
                <w:iCs/>
                <w:szCs w:val="21"/>
                <w:lang w:val="zh-CN"/>
              </w:rPr>
              <w:t>审查说明：规划用地面积2hm</w:t>
            </w:r>
            <w:r>
              <w:rPr>
                <w:rFonts w:hint="eastAsia" w:cs="Times New Roman"/>
                <w:b/>
                <w:bCs/>
                <w:i/>
                <w:iCs/>
                <w:szCs w:val="21"/>
                <w:vertAlign w:val="superscript"/>
                <w:lang w:val="zh-CN"/>
              </w:rPr>
              <w:t>2</w:t>
            </w:r>
            <w:r>
              <w:rPr>
                <w:rFonts w:hint="eastAsia" w:cs="Times New Roman"/>
                <w:b/>
                <w:bCs/>
                <w:i/>
                <w:iCs/>
                <w:szCs w:val="21"/>
                <w:lang w:val="zh-CN"/>
              </w:rPr>
              <w:t>以上的新建公建</w:t>
            </w:r>
            <w:r>
              <w:rPr>
                <w:rFonts w:hint="eastAsia" w:cs="Times New Roman"/>
                <w:b/>
                <w:bCs/>
                <w:i/>
                <w:iCs/>
                <w:szCs w:val="21"/>
              </w:rPr>
              <w:t>项目</w:t>
            </w:r>
            <w:r>
              <w:rPr>
                <w:rFonts w:hint="eastAsia" w:cs="Times New Roman"/>
                <w:b/>
                <w:bCs/>
                <w:i/>
                <w:iCs/>
                <w:szCs w:val="21"/>
                <w:lang w:val="zh-CN"/>
              </w:rPr>
              <w:t>应</w:t>
            </w:r>
            <w:r>
              <w:rPr>
                <w:rFonts w:hint="eastAsia" w:cs="Times New Roman"/>
                <w:b/>
                <w:bCs/>
                <w:i/>
                <w:iCs/>
                <w:szCs w:val="21"/>
              </w:rPr>
              <w:t>开展雨水资源化利用</w:t>
            </w:r>
            <w:r>
              <w:rPr>
                <w:rFonts w:hint="eastAsia" w:cs="Times New Roman"/>
                <w:b/>
                <w:bCs/>
                <w:i/>
                <w:iCs/>
                <w:szCs w:val="21"/>
                <w:lang w:val="zh-CN"/>
              </w:rPr>
              <w:t>，</w:t>
            </w:r>
            <w:r>
              <w:rPr>
                <w:rFonts w:hint="eastAsia" w:cs="Times New Roman"/>
                <w:b/>
                <w:bCs/>
                <w:i/>
                <w:iCs/>
                <w:szCs w:val="21"/>
              </w:rPr>
              <w:t>具体指标由相关规划或行业主管部门确定，且不宜低于5%。其他项目宜开展雨水资源化利用。雨水资源利用率指雨水收集并用于道路清洗、绿化浇灌、市政杂用、工农业生产、冷却用水、景观补水等的年雨水利用总量与年均降雨量的比值。</w:t>
            </w:r>
          </w:p>
          <w:p w14:paraId="2F710AAD">
            <w:pPr>
              <w:ind w:firstLine="0" w:firstLineChars="0"/>
              <w:rPr>
                <w:rFonts w:hint="eastAsia" w:cs="Times New Roman"/>
                <w:b/>
                <w:bCs/>
                <w:i/>
                <w:iCs/>
                <w:szCs w:val="21"/>
              </w:rPr>
            </w:pPr>
          </w:p>
          <w:p w14:paraId="5E4D9625">
            <w:pPr>
              <w:tabs>
                <w:tab w:val="left" w:pos="0"/>
              </w:tabs>
              <w:ind w:firstLine="0" w:firstLineChars="0"/>
              <w:rPr>
                <w:szCs w:val="21"/>
              </w:rPr>
            </w:pPr>
            <w:r>
              <w:rPr>
                <w:rFonts w:cs="Times New Roman" w:eastAsiaTheme="minorEastAsia"/>
                <w:b/>
                <w:bCs/>
                <w:szCs w:val="21"/>
                <w:shd w:val="clear" w:color="auto" w:fill="FFFFFF"/>
              </w:rPr>
              <w:t>《建筑与小区雨水控制及利用工程技术规范》GB50400-2016</w:t>
            </w:r>
          </w:p>
          <w:p w14:paraId="6185EBAC">
            <w:pPr>
              <w:ind w:firstLine="0" w:firstLineChars="0"/>
              <w:rPr>
                <w:szCs w:val="21"/>
              </w:rPr>
            </w:pPr>
            <w:r>
              <w:rPr>
                <w:rFonts w:hint="eastAsia"/>
                <w:szCs w:val="21"/>
              </w:rPr>
              <w:t>3.2.4 回用雨水集中供应系统的水质应根据用途确定，COD</w:t>
            </w:r>
            <w:r>
              <w:rPr>
                <w:rFonts w:hint="eastAsia"/>
                <w:szCs w:val="21"/>
                <w:vertAlign w:val="subscript"/>
              </w:rPr>
              <w:t>Cr</w:t>
            </w:r>
            <w:r>
              <w:rPr>
                <w:rFonts w:hint="eastAsia"/>
                <w:szCs w:val="21"/>
              </w:rPr>
              <w:t>和SS指标应符合表3.2.4的规定，其余指标应符合国家现行相关标准的规定。</w:t>
            </w:r>
          </w:p>
          <w:tbl>
            <w:tblPr>
              <w:tblStyle w:val="24"/>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157"/>
              <w:gridCol w:w="1134"/>
              <w:gridCol w:w="905"/>
              <w:gridCol w:w="878"/>
              <w:gridCol w:w="712"/>
              <w:gridCol w:w="729"/>
              <w:gridCol w:w="619"/>
              <w:gridCol w:w="546"/>
            </w:tblGrid>
            <w:tr w14:paraId="4CE80E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865" w:type="pct"/>
                  <w:vAlign w:val="center"/>
                </w:tcPr>
                <w:p w14:paraId="69AF0457">
                  <w:pPr>
                    <w:spacing w:line="240" w:lineRule="auto"/>
                    <w:ind w:firstLine="0" w:firstLineChars="0"/>
                    <w:jc w:val="center"/>
                    <w:rPr>
                      <w:szCs w:val="21"/>
                    </w:rPr>
                  </w:pPr>
                  <w:r>
                    <w:rPr>
                      <w:rFonts w:hint="eastAsia"/>
                      <w:szCs w:val="21"/>
                    </w:rPr>
                    <w:t>项目指标</w:t>
                  </w:r>
                </w:p>
              </w:tc>
              <w:tc>
                <w:tcPr>
                  <w:tcW w:w="848" w:type="pct"/>
                  <w:vAlign w:val="center"/>
                </w:tcPr>
                <w:p w14:paraId="7A467C28">
                  <w:pPr>
                    <w:spacing w:line="240" w:lineRule="auto"/>
                    <w:ind w:firstLine="0" w:firstLineChars="0"/>
                    <w:jc w:val="center"/>
                    <w:rPr>
                      <w:szCs w:val="21"/>
                    </w:rPr>
                  </w:pPr>
                  <w:r>
                    <w:rPr>
                      <w:rFonts w:hint="eastAsia"/>
                      <w:szCs w:val="21"/>
                    </w:rPr>
                    <w:t>循环冷却</w:t>
                  </w:r>
                </w:p>
                <w:p w14:paraId="7D1602B6">
                  <w:pPr>
                    <w:spacing w:line="240" w:lineRule="auto"/>
                    <w:ind w:firstLine="0" w:firstLineChars="0"/>
                    <w:jc w:val="center"/>
                    <w:rPr>
                      <w:szCs w:val="21"/>
                    </w:rPr>
                  </w:pPr>
                  <w:r>
                    <w:rPr>
                      <w:rFonts w:hint="eastAsia"/>
                      <w:szCs w:val="21"/>
                    </w:rPr>
                    <w:t>系统补水</w:t>
                  </w:r>
                </w:p>
              </w:tc>
              <w:tc>
                <w:tcPr>
                  <w:tcW w:w="677" w:type="pct"/>
                  <w:vAlign w:val="center"/>
                </w:tcPr>
                <w:p w14:paraId="50730DCE">
                  <w:pPr>
                    <w:spacing w:line="240" w:lineRule="auto"/>
                    <w:ind w:firstLine="0" w:firstLineChars="0"/>
                    <w:jc w:val="center"/>
                    <w:rPr>
                      <w:szCs w:val="21"/>
                    </w:rPr>
                  </w:pPr>
                  <w:r>
                    <w:rPr>
                      <w:rFonts w:hint="eastAsia"/>
                      <w:szCs w:val="21"/>
                    </w:rPr>
                    <w:t>观赏性水景</w:t>
                  </w:r>
                </w:p>
              </w:tc>
              <w:tc>
                <w:tcPr>
                  <w:tcW w:w="657" w:type="pct"/>
                  <w:tcBorders>
                    <w:top w:val="single" w:color="auto" w:sz="4" w:space="0"/>
                    <w:left w:val="single" w:color="auto" w:sz="4" w:space="0"/>
                    <w:bottom w:val="single" w:color="auto" w:sz="4" w:space="0"/>
                    <w:right w:val="single" w:color="auto" w:sz="4" w:space="0"/>
                  </w:tcBorders>
                  <w:vAlign w:val="center"/>
                </w:tcPr>
                <w:p w14:paraId="68E58441">
                  <w:pPr>
                    <w:spacing w:line="240" w:lineRule="auto"/>
                    <w:ind w:firstLine="0" w:firstLineChars="0"/>
                    <w:jc w:val="center"/>
                    <w:rPr>
                      <w:szCs w:val="21"/>
                    </w:rPr>
                  </w:pPr>
                  <w:r>
                    <w:rPr>
                      <w:rFonts w:hint="eastAsia"/>
                      <w:szCs w:val="21"/>
                    </w:rPr>
                    <w:t>娱乐性水景</w:t>
                  </w:r>
                </w:p>
              </w:tc>
              <w:tc>
                <w:tcPr>
                  <w:tcW w:w="533" w:type="pct"/>
                  <w:tcBorders>
                    <w:top w:val="single" w:color="auto" w:sz="4" w:space="0"/>
                    <w:left w:val="single" w:color="auto" w:sz="4" w:space="0"/>
                    <w:bottom w:val="single" w:color="auto" w:sz="4" w:space="0"/>
                    <w:right w:val="single" w:color="auto" w:sz="4" w:space="0"/>
                  </w:tcBorders>
                  <w:vAlign w:val="center"/>
                </w:tcPr>
                <w:p w14:paraId="480FAB72">
                  <w:pPr>
                    <w:spacing w:line="240" w:lineRule="auto"/>
                    <w:ind w:firstLine="0" w:firstLineChars="0"/>
                    <w:jc w:val="center"/>
                    <w:rPr>
                      <w:szCs w:val="21"/>
                    </w:rPr>
                  </w:pPr>
                  <w:r>
                    <w:rPr>
                      <w:rFonts w:hint="eastAsia"/>
                      <w:szCs w:val="21"/>
                    </w:rPr>
                    <w:t>绿化</w:t>
                  </w:r>
                </w:p>
              </w:tc>
              <w:tc>
                <w:tcPr>
                  <w:tcW w:w="545" w:type="pct"/>
                  <w:vAlign w:val="center"/>
                </w:tcPr>
                <w:p w14:paraId="1C311B98">
                  <w:pPr>
                    <w:spacing w:line="240" w:lineRule="auto"/>
                    <w:ind w:firstLine="0" w:firstLineChars="0"/>
                    <w:jc w:val="center"/>
                    <w:rPr>
                      <w:szCs w:val="21"/>
                    </w:rPr>
                  </w:pPr>
                  <w:r>
                    <w:rPr>
                      <w:rFonts w:hint="eastAsia"/>
                      <w:szCs w:val="21"/>
                    </w:rPr>
                    <w:t>车辆冲洗</w:t>
                  </w:r>
                </w:p>
              </w:tc>
              <w:tc>
                <w:tcPr>
                  <w:tcW w:w="463" w:type="pct"/>
                  <w:tcBorders>
                    <w:top w:val="single" w:color="auto" w:sz="4" w:space="0"/>
                    <w:left w:val="single" w:color="auto" w:sz="4" w:space="0"/>
                    <w:bottom w:val="single" w:color="auto" w:sz="4" w:space="0"/>
                    <w:right w:val="single" w:color="auto" w:sz="4" w:space="0"/>
                  </w:tcBorders>
                  <w:vAlign w:val="center"/>
                </w:tcPr>
                <w:p w14:paraId="22FC4E44">
                  <w:pPr>
                    <w:spacing w:line="240" w:lineRule="auto"/>
                    <w:ind w:firstLine="0" w:firstLineChars="0"/>
                    <w:jc w:val="center"/>
                    <w:rPr>
                      <w:szCs w:val="21"/>
                    </w:rPr>
                  </w:pPr>
                  <w:r>
                    <w:rPr>
                      <w:rFonts w:hint="eastAsia"/>
                      <w:szCs w:val="21"/>
                    </w:rPr>
                    <w:t>道路浇洒</w:t>
                  </w:r>
                </w:p>
              </w:tc>
              <w:tc>
                <w:tcPr>
                  <w:tcW w:w="408" w:type="pct"/>
                  <w:vAlign w:val="center"/>
                </w:tcPr>
                <w:p w14:paraId="44535B72">
                  <w:pPr>
                    <w:spacing w:line="240" w:lineRule="auto"/>
                    <w:ind w:firstLine="0" w:firstLineChars="0"/>
                    <w:jc w:val="center"/>
                    <w:rPr>
                      <w:szCs w:val="21"/>
                    </w:rPr>
                  </w:pPr>
                  <w:r>
                    <w:rPr>
                      <w:rFonts w:hint="eastAsia"/>
                      <w:szCs w:val="21"/>
                    </w:rPr>
                    <w:t>冲厕</w:t>
                  </w:r>
                </w:p>
              </w:tc>
            </w:tr>
            <w:tr w14:paraId="4D5E30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865" w:type="pct"/>
                  <w:vAlign w:val="center"/>
                </w:tcPr>
                <w:p w14:paraId="7D92D871">
                  <w:pPr>
                    <w:spacing w:line="240" w:lineRule="auto"/>
                    <w:ind w:firstLine="0" w:firstLineChars="0"/>
                    <w:jc w:val="center"/>
                    <w:rPr>
                      <w:szCs w:val="21"/>
                    </w:rPr>
                  </w:pPr>
                  <w:r>
                    <w:rPr>
                      <w:rFonts w:hint="eastAsia"/>
                      <w:szCs w:val="21"/>
                    </w:rPr>
                    <w:t>COD</w:t>
                  </w:r>
                  <w:r>
                    <w:rPr>
                      <w:rFonts w:hint="eastAsia"/>
                      <w:szCs w:val="21"/>
                      <w:vertAlign w:val="subscript"/>
                    </w:rPr>
                    <w:t>Cr</w:t>
                  </w:r>
                  <w:r>
                    <w:rPr>
                      <w:rFonts w:hint="eastAsia"/>
                      <w:szCs w:val="21"/>
                    </w:rPr>
                    <w:t>（mg/L）</w:t>
                  </w:r>
                </w:p>
              </w:tc>
              <w:tc>
                <w:tcPr>
                  <w:tcW w:w="848" w:type="pct"/>
                  <w:vAlign w:val="center"/>
                </w:tcPr>
                <w:p w14:paraId="05866888">
                  <w:pPr>
                    <w:spacing w:line="240" w:lineRule="auto"/>
                    <w:ind w:firstLine="0" w:firstLineChars="0"/>
                    <w:jc w:val="center"/>
                    <w:rPr>
                      <w:szCs w:val="21"/>
                    </w:rPr>
                  </w:pPr>
                  <w:r>
                    <w:rPr>
                      <w:rFonts w:hint="eastAsia"/>
                      <w:szCs w:val="21"/>
                    </w:rPr>
                    <w:t>≤30</w:t>
                  </w:r>
                </w:p>
              </w:tc>
              <w:tc>
                <w:tcPr>
                  <w:tcW w:w="677" w:type="pct"/>
                  <w:vAlign w:val="center"/>
                </w:tcPr>
                <w:p w14:paraId="1064D817">
                  <w:pPr>
                    <w:spacing w:line="240" w:lineRule="auto"/>
                    <w:ind w:firstLine="0" w:firstLineChars="0"/>
                    <w:jc w:val="center"/>
                    <w:rPr>
                      <w:szCs w:val="21"/>
                    </w:rPr>
                  </w:pPr>
                  <w:r>
                    <w:rPr>
                      <w:rFonts w:hint="eastAsia"/>
                      <w:szCs w:val="21"/>
                    </w:rPr>
                    <w:t>≤30</w:t>
                  </w:r>
                </w:p>
              </w:tc>
              <w:tc>
                <w:tcPr>
                  <w:tcW w:w="657" w:type="pct"/>
                  <w:tcBorders>
                    <w:top w:val="single" w:color="auto" w:sz="4" w:space="0"/>
                    <w:left w:val="single" w:color="auto" w:sz="4" w:space="0"/>
                    <w:bottom w:val="single" w:color="auto" w:sz="4" w:space="0"/>
                    <w:right w:val="single" w:color="auto" w:sz="4" w:space="0"/>
                  </w:tcBorders>
                  <w:vAlign w:val="center"/>
                </w:tcPr>
                <w:p w14:paraId="07C2A40E">
                  <w:pPr>
                    <w:spacing w:line="240" w:lineRule="auto"/>
                    <w:ind w:firstLine="0" w:firstLineChars="0"/>
                    <w:jc w:val="center"/>
                    <w:rPr>
                      <w:szCs w:val="21"/>
                    </w:rPr>
                  </w:pPr>
                  <w:r>
                    <w:rPr>
                      <w:rFonts w:hint="eastAsia"/>
                      <w:szCs w:val="21"/>
                    </w:rPr>
                    <w:t>≤20</w:t>
                  </w:r>
                </w:p>
              </w:tc>
              <w:tc>
                <w:tcPr>
                  <w:tcW w:w="533" w:type="pct"/>
                  <w:tcBorders>
                    <w:top w:val="single" w:color="auto" w:sz="4" w:space="0"/>
                    <w:left w:val="single" w:color="auto" w:sz="4" w:space="0"/>
                    <w:bottom w:val="single" w:color="auto" w:sz="4" w:space="0"/>
                    <w:right w:val="single" w:color="auto" w:sz="4" w:space="0"/>
                  </w:tcBorders>
                  <w:vAlign w:val="center"/>
                </w:tcPr>
                <w:p w14:paraId="511C5B51">
                  <w:pPr>
                    <w:spacing w:line="240" w:lineRule="auto"/>
                    <w:ind w:firstLine="0" w:firstLineChars="0"/>
                    <w:jc w:val="center"/>
                    <w:rPr>
                      <w:szCs w:val="21"/>
                    </w:rPr>
                  </w:pPr>
                  <w:r>
                    <w:rPr>
                      <w:rFonts w:hint="eastAsia"/>
                      <w:szCs w:val="21"/>
                    </w:rPr>
                    <w:t>-</w:t>
                  </w:r>
                </w:p>
              </w:tc>
              <w:tc>
                <w:tcPr>
                  <w:tcW w:w="545" w:type="pct"/>
                  <w:vAlign w:val="center"/>
                </w:tcPr>
                <w:p w14:paraId="47E80F09">
                  <w:pPr>
                    <w:spacing w:line="240" w:lineRule="auto"/>
                    <w:ind w:firstLine="0" w:firstLineChars="0"/>
                    <w:jc w:val="center"/>
                    <w:rPr>
                      <w:szCs w:val="21"/>
                    </w:rPr>
                  </w:pPr>
                  <w:r>
                    <w:rPr>
                      <w:rFonts w:hint="eastAsia"/>
                      <w:szCs w:val="21"/>
                    </w:rPr>
                    <w:t>≤30</w:t>
                  </w:r>
                </w:p>
              </w:tc>
              <w:tc>
                <w:tcPr>
                  <w:tcW w:w="463" w:type="pct"/>
                  <w:tcBorders>
                    <w:top w:val="single" w:color="auto" w:sz="4" w:space="0"/>
                    <w:left w:val="single" w:color="auto" w:sz="4" w:space="0"/>
                    <w:bottom w:val="single" w:color="auto" w:sz="4" w:space="0"/>
                    <w:right w:val="single" w:color="auto" w:sz="4" w:space="0"/>
                  </w:tcBorders>
                  <w:vAlign w:val="center"/>
                </w:tcPr>
                <w:p w14:paraId="2C95B997">
                  <w:pPr>
                    <w:spacing w:line="240" w:lineRule="auto"/>
                    <w:ind w:firstLine="0" w:firstLineChars="0"/>
                    <w:jc w:val="center"/>
                    <w:rPr>
                      <w:szCs w:val="21"/>
                    </w:rPr>
                  </w:pPr>
                  <w:r>
                    <w:rPr>
                      <w:rFonts w:hint="eastAsia"/>
                      <w:szCs w:val="21"/>
                    </w:rPr>
                    <w:t>-</w:t>
                  </w:r>
                </w:p>
              </w:tc>
              <w:tc>
                <w:tcPr>
                  <w:tcW w:w="408" w:type="pct"/>
                  <w:vAlign w:val="center"/>
                </w:tcPr>
                <w:p w14:paraId="06FDB039">
                  <w:pPr>
                    <w:spacing w:line="240" w:lineRule="auto"/>
                    <w:ind w:firstLine="0" w:firstLineChars="0"/>
                    <w:jc w:val="center"/>
                    <w:rPr>
                      <w:szCs w:val="21"/>
                    </w:rPr>
                  </w:pPr>
                  <w:r>
                    <w:rPr>
                      <w:rFonts w:hint="eastAsia"/>
                      <w:szCs w:val="21"/>
                    </w:rPr>
                    <w:t>≤30</w:t>
                  </w:r>
                </w:p>
              </w:tc>
            </w:tr>
            <w:tr w14:paraId="18D429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c>
                <w:tcPr>
                  <w:tcW w:w="865" w:type="pct"/>
                  <w:vAlign w:val="center"/>
                </w:tcPr>
                <w:p w14:paraId="3174CEDE">
                  <w:pPr>
                    <w:spacing w:line="240" w:lineRule="auto"/>
                    <w:ind w:firstLine="0" w:firstLineChars="0"/>
                    <w:jc w:val="center"/>
                    <w:rPr>
                      <w:szCs w:val="21"/>
                    </w:rPr>
                  </w:pPr>
                  <w:r>
                    <w:rPr>
                      <w:rFonts w:hint="eastAsia"/>
                      <w:szCs w:val="21"/>
                    </w:rPr>
                    <w:t>SS（mg/L）</w:t>
                  </w:r>
                </w:p>
              </w:tc>
              <w:tc>
                <w:tcPr>
                  <w:tcW w:w="848" w:type="pct"/>
                  <w:vAlign w:val="center"/>
                </w:tcPr>
                <w:p w14:paraId="6930EB7E">
                  <w:pPr>
                    <w:spacing w:line="240" w:lineRule="auto"/>
                    <w:ind w:firstLine="0" w:firstLineChars="0"/>
                    <w:jc w:val="center"/>
                    <w:rPr>
                      <w:szCs w:val="21"/>
                    </w:rPr>
                  </w:pPr>
                  <w:r>
                    <w:rPr>
                      <w:rFonts w:hint="eastAsia"/>
                      <w:szCs w:val="21"/>
                    </w:rPr>
                    <w:t>≤5</w:t>
                  </w:r>
                </w:p>
              </w:tc>
              <w:tc>
                <w:tcPr>
                  <w:tcW w:w="677" w:type="pct"/>
                  <w:vAlign w:val="center"/>
                </w:tcPr>
                <w:p w14:paraId="14C7409B">
                  <w:pPr>
                    <w:spacing w:line="240" w:lineRule="auto"/>
                    <w:ind w:firstLine="0" w:firstLineChars="0"/>
                    <w:jc w:val="center"/>
                    <w:rPr>
                      <w:szCs w:val="21"/>
                    </w:rPr>
                  </w:pPr>
                  <w:r>
                    <w:rPr>
                      <w:rFonts w:hint="eastAsia"/>
                      <w:szCs w:val="21"/>
                    </w:rPr>
                    <w:t>≤10</w:t>
                  </w:r>
                </w:p>
              </w:tc>
              <w:tc>
                <w:tcPr>
                  <w:tcW w:w="657" w:type="pct"/>
                  <w:tcBorders>
                    <w:top w:val="single" w:color="auto" w:sz="4" w:space="0"/>
                    <w:left w:val="single" w:color="auto" w:sz="4" w:space="0"/>
                    <w:bottom w:val="single" w:color="auto" w:sz="4" w:space="0"/>
                    <w:right w:val="single" w:color="auto" w:sz="4" w:space="0"/>
                  </w:tcBorders>
                  <w:vAlign w:val="center"/>
                </w:tcPr>
                <w:p w14:paraId="3B062924">
                  <w:pPr>
                    <w:spacing w:line="240" w:lineRule="auto"/>
                    <w:ind w:firstLine="0" w:firstLineChars="0"/>
                    <w:jc w:val="center"/>
                    <w:rPr>
                      <w:szCs w:val="21"/>
                    </w:rPr>
                  </w:pPr>
                  <w:r>
                    <w:rPr>
                      <w:rFonts w:hint="eastAsia"/>
                      <w:szCs w:val="21"/>
                    </w:rPr>
                    <w:t>≤5</w:t>
                  </w:r>
                </w:p>
              </w:tc>
              <w:tc>
                <w:tcPr>
                  <w:tcW w:w="533" w:type="pct"/>
                  <w:tcBorders>
                    <w:top w:val="single" w:color="auto" w:sz="4" w:space="0"/>
                    <w:left w:val="single" w:color="auto" w:sz="4" w:space="0"/>
                    <w:bottom w:val="single" w:color="auto" w:sz="4" w:space="0"/>
                    <w:right w:val="single" w:color="auto" w:sz="4" w:space="0"/>
                  </w:tcBorders>
                  <w:vAlign w:val="center"/>
                </w:tcPr>
                <w:p w14:paraId="766511B5">
                  <w:pPr>
                    <w:spacing w:line="240" w:lineRule="auto"/>
                    <w:ind w:firstLine="0" w:firstLineChars="0"/>
                    <w:jc w:val="center"/>
                    <w:rPr>
                      <w:szCs w:val="21"/>
                    </w:rPr>
                  </w:pPr>
                  <w:r>
                    <w:rPr>
                      <w:rFonts w:hint="eastAsia"/>
                      <w:szCs w:val="21"/>
                    </w:rPr>
                    <w:t>≤10</w:t>
                  </w:r>
                </w:p>
              </w:tc>
              <w:tc>
                <w:tcPr>
                  <w:tcW w:w="545" w:type="pct"/>
                  <w:vAlign w:val="center"/>
                </w:tcPr>
                <w:p w14:paraId="1E653F79">
                  <w:pPr>
                    <w:spacing w:line="240" w:lineRule="auto"/>
                    <w:ind w:firstLine="0" w:firstLineChars="0"/>
                    <w:jc w:val="center"/>
                    <w:rPr>
                      <w:szCs w:val="21"/>
                    </w:rPr>
                  </w:pPr>
                  <w:r>
                    <w:rPr>
                      <w:rFonts w:hint="eastAsia"/>
                      <w:szCs w:val="21"/>
                    </w:rPr>
                    <w:t>≤5</w:t>
                  </w:r>
                </w:p>
              </w:tc>
              <w:tc>
                <w:tcPr>
                  <w:tcW w:w="463" w:type="pct"/>
                  <w:tcBorders>
                    <w:top w:val="single" w:color="auto" w:sz="4" w:space="0"/>
                    <w:left w:val="single" w:color="auto" w:sz="4" w:space="0"/>
                    <w:bottom w:val="single" w:color="auto" w:sz="4" w:space="0"/>
                    <w:right w:val="single" w:color="auto" w:sz="4" w:space="0"/>
                  </w:tcBorders>
                  <w:vAlign w:val="center"/>
                </w:tcPr>
                <w:p w14:paraId="2D40BC08">
                  <w:pPr>
                    <w:spacing w:line="240" w:lineRule="auto"/>
                    <w:ind w:firstLine="0" w:firstLineChars="0"/>
                    <w:jc w:val="center"/>
                    <w:rPr>
                      <w:szCs w:val="21"/>
                    </w:rPr>
                  </w:pPr>
                  <w:r>
                    <w:rPr>
                      <w:rFonts w:hint="eastAsia"/>
                      <w:szCs w:val="21"/>
                    </w:rPr>
                    <w:t>≤10</w:t>
                  </w:r>
                </w:p>
              </w:tc>
              <w:tc>
                <w:tcPr>
                  <w:tcW w:w="408" w:type="pct"/>
                  <w:vAlign w:val="center"/>
                </w:tcPr>
                <w:p w14:paraId="277A45CA">
                  <w:pPr>
                    <w:spacing w:line="240" w:lineRule="auto"/>
                    <w:ind w:firstLine="0" w:firstLineChars="0"/>
                    <w:jc w:val="center"/>
                    <w:rPr>
                      <w:szCs w:val="21"/>
                    </w:rPr>
                  </w:pPr>
                  <w:r>
                    <w:rPr>
                      <w:rFonts w:hint="eastAsia"/>
                      <w:szCs w:val="21"/>
                    </w:rPr>
                    <w:t>≤5</w:t>
                  </w:r>
                </w:p>
              </w:tc>
            </w:tr>
          </w:tbl>
          <w:p w14:paraId="07E7EC09">
            <w:pPr>
              <w:ind w:firstLine="0" w:firstLineChars="0"/>
              <w:rPr>
                <w:rFonts w:hint="eastAsia"/>
                <w:szCs w:val="21"/>
              </w:rPr>
            </w:pPr>
            <w:r>
              <w:rPr>
                <w:rFonts w:hint="eastAsia"/>
                <w:szCs w:val="21"/>
              </w:rPr>
              <w:t>3.2.5 当雨水同时用于多种用途时，其水质应按最高水质标准确定。</w:t>
            </w:r>
          </w:p>
        </w:tc>
      </w:tr>
    </w:tbl>
    <w:p w14:paraId="068E4281">
      <w:pPr>
        <w:ind w:firstLine="0" w:firstLineChars="0"/>
      </w:pPr>
    </w:p>
    <w:p w14:paraId="1A99FBD3">
      <w:pPr>
        <w:pStyle w:val="4"/>
      </w:pPr>
      <w:bookmarkStart w:id="68" w:name="_Toc11826"/>
      <w:bookmarkStart w:id="69" w:name="_Toc4160"/>
      <w:bookmarkStart w:id="70" w:name="_Toc17986"/>
      <w:bookmarkStart w:id="71" w:name="_Toc232627969"/>
      <w:bookmarkStart w:id="72" w:name="_Toc769965267"/>
      <w:r>
        <w:rPr>
          <w:rFonts w:hint="eastAsia"/>
        </w:rPr>
        <w:t>电气专业</w:t>
      </w:r>
      <w:bookmarkEnd w:id="68"/>
      <w:bookmarkEnd w:id="69"/>
      <w:bookmarkEnd w:id="70"/>
      <w:bookmarkEnd w:id="71"/>
      <w:bookmarkEnd w:id="72"/>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140"/>
        <w:gridCol w:w="6692"/>
      </w:tblGrid>
      <w:tr w14:paraId="2CB807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95" w:type="pct"/>
            <w:tcBorders>
              <w:tl2br w:val="nil"/>
              <w:tr2bl w:val="nil"/>
            </w:tcBorders>
            <w:vAlign w:val="center"/>
          </w:tcPr>
          <w:p w14:paraId="205E8088">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序号</w:t>
            </w:r>
          </w:p>
        </w:tc>
        <w:tc>
          <w:tcPr>
            <w:tcW w:w="670" w:type="pct"/>
            <w:tcBorders>
              <w:tl2br w:val="nil"/>
              <w:tr2bl w:val="nil"/>
            </w:tcBorders>
            <w:vAlign w:val="center"/>
          </w:tcPr>
          <w:p w14:paraId="6475A1B1">
            <w:pPr>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审查项目</w:t>
            </w:r>
          </w:p>
        </w:tc>
        <w:tc>
          <w:tcPr>
            <w:tcW w:w="3933" w:type="pct"/>
            <w:tcBorders>
              <w:tl2br w:val="nil"/>
              <w:tr2bl w:val="nil"/>
            </w:tcBorders>
            <w:vAlign w:val="center"/>
          </w:tcPr>
          <w:p w14:paraId="0FC8FDA9">
            <w:pPr>
              <w:widowControl/>
              <w:ind w:firstLine="0" w:firstLineChars="0"/>
              <w:contextualSpacing/>
              <w:jc w:val="center"/>
              <w:rPr>
                <w:rFonts w:eastAsiaTheme="minorEastAsia" w:cstheme="minorEastAsia"/>
                <w:bCs/>
                <w:kern w:val="0"/>
                <w:szCs w:val="21"/>
              </w:rPr>
            </w:pPr>
            <w:r>
              <w:rPr>
                <w:rFonts w:hint="eastAsia" w:eastAsiaTheme="minorEastAsia" w:cstheme="minorEastAsia"/>
                <w:bCs/>
                <w:kern w:val="0"/>
                <w:szCs w:val="21"/>
              </w:rPr>
              <w:t>审查的标准及条文</w:t>
            </w:r>
          </w:p>
        </w:tc>
      </w:tr>
      <w:tr w14:paraId="60774B3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395" w:type="pct"/>
            <w:tcBorders>
              <w:tl2br w:val="nil"/>
              <w:tr2bl w:val="nil"/>
            </w:tcBorders>
            <w:vAlign w:val="center"/>
          </w:tcPr>
          <w:p w14:paraId="2B0946B0">
            <w:pPr>
              <w:widowControl/>
              <w:numPr>
                <w:ilvl w:val="0"/>
                <w:numId w:val="5"/>
              </w:numPr>
              <w:ind w:firstLineChars="0"/>
              <w:contextualSpacing/>
              <w:jc w:val="center"/>
              <w:rPr>
                <w:rFonts w:eastAsia="黑体"/>
                <w:bCs/>
                <w:kern w:val="0"/>
                <w:szCs w:val="21"/>
              </w:rPr>
            </w:pPr>
          </w:p>
        </w:tc>
        <w:tc>
          <w:tcPr>
            <w:tcW w:w="670" w:type="pct"/>
            <w:tcBorders>
              <w:tl2br w:val="nil"/>
              <w:tr2bl w:val="nil"/>
            </w:tcBorders>
            <w:vAlign w:val="center"/>
          </w:tcPr>
          <w:p w14:paraId="1DE9A54E">
            <w:pPr>
              <w:spacing w:line="240" w:lineRule="auto"/>
              <w:ind w:firstLine="0" w:firstLineChars="0"/>
              <w:jc w:val="center"/>
              <w:rPr>
                <w:rFonts w:eastAsiaTheme="minorEastAsia" w:cstheme="minorEastAsia"/>
                <w:szCs w:val="21"/>
              </w:rPr>
            </w:pPr>
            <w:r>
              <w:rPr>
                <w:rFonts w:hint="eastAsia" w:eastAsiaTheme="minorEastAsia" w:cstheme="minorEastAsia"/>
                <w:szCs w:val="21"/>
              </w:rPr>
              <w:t>雨水</w:t>
            </w:r>
          </w:p>
          <w:p w14:paraId="2777733C">
            <w:pPr>
              <w:spacing w:line="240" w:lineRule="auto"/>
              <w:ind w:firstLine="0" w:firstLineChars="0"/>
              <w:jc w:val="center"/>
              <w:rPr>
                <w:rFonts w:eastAsiaTheme="minorEastAsia" w:cstheme="minorEastAsia"/>
                <w:szCs w:val="21"/>
              </w:rPr>
            </w:pPr>
            <w:r>
              <w:rPr>
                <w:rFonts w:hint="eastAsia" w:eastAsiaTheme="minorEastAsia" w:cstheme="minorEastAsia"/>
                <w:szCs w:val="21"/>
              </w:rPr>
              <w:t>调蓄池</w:t>
            </w:r>
          </w:p>
        </w:tc>
        <w:tc>
          <w:tcPr>
            <w:tcW w:w="3933" w:type="pct"/>
            <w:tcBorders>
              <w:tl2br w:val="nil"/>
              <w:tr2bl w:val="nil"/>
            </w:tcBorders>
            <w:vAlign w:val="center"/>
          </w:tcPr>
          <w:p w14:paraId="2C8C8CBB">
            <w:pPr>
              <w:tabs>
                <w:tab w:val="left" w:pos="0"/>
              </w:tabs>
              <w:ind w:firstLine="0" w:firstLineChars="0"/>
              <w:jc w:val="both"/>
              <w:rPr>
                <w:szCs w:val="21"/>
              </w:rPr>
            </w:pPr>
            <w:r>
              <w:rPr>
                <w:rFonts w:cs="Times New Roman" w:eastAsiaTheme="minorEastAsia"/>
                <w:b/>
                <w:bCs/>
                <w:szCs w:val="21"/>
                <w:shd w:val="clear" w:color="auto" w:fill="FFFFFF"/>
              </w:rPr>
              <w:t>《建筑与小区雨水控制及利用工程技术规范》GB50400-2016</w:t>
            </w:r>
          </w:p>
          <w:p w14:paraId="26FFA3CC">
            <w:pPr>
              <w:tabs>
                <w:tab w:val="left" w:pos="0"/>
              </w:tabs>
              <w:ind w:firstLine="0" w:firstLineChars="0"/>
              <w:jc w:val="both"/>
              <w:rPr>
                <w:rFonts w:cs="Times New Roman" w:eastAsiaTheme="minorEastAsia"/>
                <w:szCs w:val="21"/>
                <w:shd w:val="clear" w:color="auto" w:fill="FFFFFF"/>
              </w:rPr>
            </w:pPr>
            <w:r>
              <w:rPr>
                <w:rFonts w:hint="eastAsia" w:cs="Times New Roman" w:eastAsiaTheme="minorEastAsia"/>
                <w:szCs w:val="21"/>
                <w:shd w:val="clear" w:color="auto" w:fill="FFFFFF"/>
              </w:rPr>
              <w:t xml:space="preserve">7.2.5 </w:t>
            </w:r>
            <w:r>
              <w:rPr>
                <w:rFonts w:cs="Times New Roman" w:eastAsiaTheme="minorEastAsia"/>
                <w:szCs w:val="21"/>
                <w:shd w:val="clear" w:color="auto" w:fill="FFFFFF"/>
              </w:rPr>
              <w:t>当</w:t>
            </w:r>
            <w:r>
              <w:rPr>
                <w:rFonts w:hint="eastAsia" w:cs="Times New Roman" w:eastAsiaTheme="minorEastAsia"/>
                <w:szCs w:val="21"/>
                <w:shd w:val="clear" w:color="auto" w:fill="FFFFFF"/>
              </w:rPr>
              <w:t>调</w:t>
            </w:r>
            <w:r>
              <w:rPr>
                <w:rFonts w:cs="Times New Roman" w:eastAsiaTheme="minorEastAsia"/>
                <w:szCs w:val="21"/>
                <w:shd w:val="clear" w:color="auto" w:fill="FFFFFF"/>
              </w:rPr>
              <w:t>蓄水池因条件限制必须设在室内且溢流口低于室外地面时，应符合下列规定：</w:t>
            </w:r>
          </w:p>
          <w:p w14:paraId="383B95FD">
            <w:pPr>
              <w:tabs>
                <w:tab w:val="left" w:pos="0"/>
              </w:tabs>
              <w:autoSpaceDE w:val="0"/>
              <w:autoSpaceDN w:val="0"/>
              <w:adjustRightInd w:val="0"/>
              <w:ind w:firstLine="420"/>
              <w:jc w:val="both"/>
              <w:rPr>
                <w:rFonts w:cs="Times New Roman" w:eastAsiaTheme="minorEastAsia"/>
                <w:szCs w:val="21"/>
                <w:shd w:val="clear" w:color="auto" w:fill="FFFFFF"/>
              </w:rPr>
            </w:pPr>
            <w:r>
              <w:rPr>
                <w:rFonts w:hint="eastAsia" w:cs="Times New Roman" w:eastAsiaTheme="minorEastAsia"/>
                <w:szCs w:val="21"/>
                <w:shd w:val="clear" w:color="auto" w:fill="FFFFFF"/>
              </w:rPr>
              <w:t>1 应设置自动提升设备排除溢流雨水，溢流提升设备的排水标准应按50年降雨重现期5min降雨强度设计，且不得小于集雨屋面设计重现期降雨强度。</w:t>
            </w:r>
          </w:p>
          <w:p w14:paraId="60F5CC52">
            <w:pPr>
              <w:tabs>
                <w:tab w:val="left" w:pos="0"/>
              </w:tabs>
              <w:autoSpaceDE w:val="0"/>
              <w:autoSpaceDN w:val="0"/>
              <w:adjustRightInd w:val="0"/>
              <w:ind w:firstLine="420"/>
              <w:jc w:val="both"/>
              <w:rPr>
                <w:rFonts w:cs="Times New Roman" w:eastAsiaTheme="minorEastAsia"/>
                <w:szCs w:val="21"/>
                <w:shd w:val="clear" w:color="auto" w:fill="FFFFFF"/>
              </w:rPr>
            </w:pPr>
            <w:r>
              <w:rPr>
                <w:rFonts w:hint="eastAsia" w:cs="Times New Roman" w:eastAsiaTheme="minorEastAsia"/>
                <w:szCs w:val="21"/>
                <w:shd w:val="clear" w:color="auto" w:fill="FFFFFF"/>
              </w:rPr>
              <w:t xml:space="preserve">2 </w:t>
            </w:r>
            <w:r>
              <w:rPr>
                <w:rFonts w:cs="Times New Roman" w:eastAsiaTheme="minorEastAsia"/>
                <w:szCs w:val="21"/>
                <w:shd w:val="clear" w:color="auto" w:fill="FFFFFF"/>
              </w:rPr>
              <w:t>自动提升设备应采用双路电源</w:t>
            </w:r>
            <w:r>
              <w:rPr>
                <w:rFonts w:hint="eastAsia" w:cs="Times New Roman" w:eastAsiaTheme="minorEastAsia"/>
                <w:szCs w:val="21"/>
                <w:shd w:val="clear" w:color="auto" w:fill="FFFFFF"/>
              </w:rPr>
              <w:t>。</w:t>
            </w:r>
          </w:p>
          <w:p w14:paraId="50AC5595">
            <w:pPr>
              <w:tabs>
                <w:tab w:val="left" w:pos="0"/>
              </w:tabs>
              <w:autoSpaceDE w:val="0"/>
              <w:autoSpaceDN w:val="0"/>
              <w:adjustRightInd w:val="0"/>
              <w:ind w:firstLine="420"/>
              <w:jc w:val="both"/>
              <w:rPr>
                <w:rFonts w:cs="Times New Roman" w:eastAsiaTheme="minorEastAsia"/>
                <w:szCs w:val="21"/>
                <w:shd w:val="clear" w:color="auto" w:fill="FFFFFF"/>
              </w:rPr>
            </w:pPr>
            <w:r>
              <w:rPr>
                <w:rFonts w:hint="eastAsia" w:cs="Times New Roman" w:eastAsiaTheme="minorEastAsia"/>
                <w:szCs w:val="21"/>
                <w:shd w:val="clear" w:color="auto" w:fill="FFFFFF"/>
              </w:rPr>
              <w:t>4 雨水调蓄水池应设溢流水位报警装置，报警信号引至物业管理中心。</w:t>
            </w:r>
          </w:p>
          <w:p w14:paraId="7E5C0F44">
            <w:pPr>
              <w:autoSpaceDE w:val="0"/>
              <w:autoSpaceDN w:val="0"/>
              <w:adjustRightInd w:val="0"/>
              <w:ind w:firstLine="0" w:firstLineChars="0"/>
              <w:jc w:val="both"/>
              <w:rPr>
                <w:b/>
                <w:bCs/>
                <w:i/>
                <w:iCs/>
              </w:rPr>
            </w:pPr>
            <w:r>
              <w:rPr>
                <w:rFonts w:hint="eastAsia"/>
                <w:b/>
                <w:bCs/>
                <w:i/>
                <w:iCs/>
              </w:rPr>
              <w:t>审查说明：设置溢流排水泵排出溢流雨水时，应配套进行水泵电气部分设计，实现自动控制。“双路电源”指“双重电源”，即一个负荷的电源由两个电路提供，两个电路互相独立，一路故障时另一电路不会同时损坏，避免因单路停电造成设备失效，防止室内积水淹泡事故。双路电源应能自动切换。</w:t>
            </w:r>
          </w:p>
          <w:p w14:paraId="2CC29140">
            <w:pPr>
              <w:autoSpaceDE w:val="0"/>
              <w:autoSpaceDN w:val="0"/>
              <w:adjustRightInd w:val="0"/>
              <w:ind w:firstLine="0" w:firstLineChars="0"/>
              <w:jc w:val="both"/>
              <w:rPr>
                <w:b/>
                <w:bCs/>
                <w:i/>
                <w:iCs/>
              </w:rPr>
            </w:pPr>
          </w:p>
          <w:p w14:paraId="3F4B0D4E">
            <w:pPr>
              <w:ind w:firstLine="0" w:firstLineChars="0"/>
              <w:jc w:val="both"/>
              <w:rPr>
                <w:szCs w:val="21"/>
              </w:rPr>
            </w:pPr>
            <w:r>
              <w:rPr>
                <w:rFonts w:hint="eastAsia"/>
                <w:szCs w:val="21"/>
              </w:rPr>
              <w:t>7.2.7</w:t>
            </w:r>
            <w:r>
              <w:rPr>
                <w:rFonts w:hint="eastAsia"/>
                <w:szCs w:val="21"/>
                <w:lang w:val="en-US" w:eastAsia="zh-CN"/>
              </w:rPr>
              <w:t xml:space="preserve"> </w:t>
            </w:r>
            <w:r>
              <w:rPr>
                <w:rFonts w:hint="eastAsia"/>
                <w:szCs w:val="21"/>
              </w:rPr>
              <w:t>钢筋混凝土蓄水池应符合下列规定:</w:t>
            </w:r>
          </w:p>
          <w:p w14:paraId="3D4A46FF">
            <w:pPr>
              <w:autoSpaceDE w:val="0"/>
              <w:autoSpaceDN w:val="0"/>
              <w:adjustRightInd w:val="0"/>
              <w:ind w:firstLine="420"/>
              <w:jc w:val="both"/>
              <w:rPr>
                <w:szCs w:val="21"/>
              </w:rPr>
            </w:pPr>
            <w:r>
              <w:rPr>
                <w:rFonts w:hint="eastAsia"/>
                <w:szCs w:val="21"/>
              </w:rPr>
              <w:t>3 池底应设排泥设施；当不具备设置排泥设施或排泥确有困难时，应设置冲洗设施，冲洗水源宜采用池水，并应与自动控制系统联动。</w:t>
            </w:r>
          </w:p>
          <w:p w14:paraId="6592806C">
            <w:pPr>
              <w:autoSpaceDE w:val="0"/>
              <w:autoSpaceDN w:val="0"/>
              <w:adjustRightInd w:val="0"/>
              <w:ind w:firstLine="0" w:firstLineChars="0"/>
              <w:jc w:val="both"/>
              <w:rPr>
                <w:b/>
                <w:bCs/>
                <w:i/>
                <w:iCs/>
              </w:rPr>
            </w:pPr>
            <w:r>
              <w:rPr>
                <w:rFonts w:hint="eastAsia"/>
                <w:b/>
                <w:bCs/>
                <w:i/>
                <w:iCs/>
              </w:rPr>
              <w:t>审查说明：钢筋混凝土蓄水池设置冲洗设施排泥时，应根据给排水专业提供的具体控制要求进行自动控制系统设计。</w:t>
            </w:r>
          </w:p>
          <w:p w14:paraId="40559CA1">
            <w:pPr>
              <w:autoSpaceDE w:val="0"/>
              <w:autoSpaceDN w:val="0"/>
              <w:adjustRightInd w:val="0"/>
              <w:ind w:firstLine="0" w:firstLineChars="0"/>
              <w:jc w:val="both"/>
              <w:rPr>
                <w:b/>
                <w:bCs/>
                <w:i/>
                <w:iCs/>
              </w:rPr>
            </w:pPr>
          </w:p>
          <w:p w14:paraId="2F66ADD2">
            <w:pPr>
              <w:ind w:firstLine="0" w:firstLineChars="0"/>
              <w:jc w:val="both"/>
            </w:pPr>
            <w:r>
              <w:rPr>
                <w:rFonts w:hint="eastAsia"/>
              </w:rPr>
              <w:t>7.2.10 当蓄水池的有效容积大于雨水回用系统最高日用水量的3倍时，应设能12h排空雨水的装置。</w:t>
            </w:r>
          </w:p>
          <w:p w14:paraId="11272942">
            <w:pPr>
              <w:autoSpaceDE w:val="0"/>
              <w:autoSpaceDN w:val="0"/>
              <w:adjustRightInd w:val="0"/>
              <w:ind w:firstLine="0" w:firstLineChars="0"/>
              <w:jc w:val="both"/>
              <w:rPr>
                <w:b/>
                <w:bCs/>
                <w:i/>
                <w:iCs/>
              </w:rPr>
            </w:pPr>
            <w:r>
              <w:rPr>
                <w:rFonts w:hint="eastAsia"/>
                <w:b/>
                <w:bCs/>
                <w:i/>
                <w:iCs/>
              </w:rPr>
              <w:t>审查说明：雨水调蓄池采用水泵抽排时，应根据给排水专业提供的具体控制要求进行水泵电气部分设计，实现自动控制，确保雨水调蓄池调蓄容积在设计工况下可用。</w:t>
            </w:r>
          </w:p>
          <w:p w14:paraId="266685E5">
            <w:pPr>
              <w:autoSpaceDE w:val="0"/>
              <w:autoSpaceDN w:val="0"/>
              <w:adjustRightInd w:val="0"/>
              <w:ind w:firstLine="0" w:firstLineChars="0"/>
              <w:jc w:val="both"/>
              <w:rPr>
                <w:b/>
                <w:bCs/>
                <w:i/>
                <w:iCs/>
              </w:rPr>
            </w:pPr>
          </w:p>
          <w:p w14:paraId="462B6F84">
            <w:pPr>
              <w:pStyle w:val="35"/>
              <w:tabs>
                <w:tab w:val="left" w:pos="0"/>
              </w:tabs>
              <w:autoSpaceDE w:val="0"/>
              <w:autoSpaceDN w:val="0"/>
              <w:adjustRightInd w:val="0"/>
              <w:jc w:val="both"/>
              <w:rPr>
                <w:b/>
                <w:bCs/>
              </w:rPr>
            </w:pPr>
            <w:r>
              <w:rPr>
                <w:rFonts w:hint="eastAsia"/>
                <w:b/>
                <w:bCs/>
              </w:rPr>
              <w:t>《剩余电流动作保护装置安装和运行》GB/T 13955-2017</w:t>
            </w:r>
          </w:p>
          <w:p w14:paraId="0B62062E">
            <w:pPr>
              <w:pStyle w:val="35"/>
              <w:tabs>
                <w:tab w:val="left" w:pos="0"/>
              </w:tabs>
              <w:autoSpaceDE w:val="0"/>
              <w:autoSpaceDN w:val="0"/>
              <w:adjustRightInd w:val="0"/>
              <w:jc w:val="both"/>
            </w:pPr>
            <w:r>
              <w:rPr>
                <w:rFonts w:hint="eastAsia"/>
              </w:rPr>
              <w:t>4.4.1</w:t>
            </w:r>
            <w:r>
              <w:rPr>
                <w:rFonts w:hint="eastAsia"/>
                <w:lang w:val="en-US" w:eastAsia="zh-CN"/>
              </w:rPr>
              <w:t xml:space="preserve"> </w:t>
            </w:r>
            <w:r>
              <w:rPr>
                <w:rFonts w:hint="eastAsia"/>
              </w:rPr>
              <w:t>末端保护</w:t>
            </w:r>
          </w:p>
          <w:p w14:paraId="4A93C36A">
            <w:pPr>
              <w:pStyle w:val="35"/>
              <w:tabs>
                <w:tab w:val="left" w:pos="0"/>
              </w:tabs>
              <w:autoSpaceDE w:val="0"/>
              <w:autoSpaceDN w:val="0"/>
              <w:adjustRightInd w:val="0"/>
              <w:ind w:firstLine="420" w:firstLineChars="200"/>
              <w:jc w:val="both"/>
            </w:pPr>
            <w:r>
              <w:rPr>
                <w:rFonts w:hint="eastAsia"/>
              </w:rPr>
              <w:t>下列设备和场所应安装末端保护RCD：</w:t>
            </w:r>
          </w:p>
          <w:p w14:paraId="21BC95E6">
            <w:pPr>
              <w:pStyle w:val="35"/>
              <w:tabs>
                <w:tab w:val="left" w:pos="0"/>
              </w:tabs>
              <w:autoSpaceDE w:val="0"/>
              <w:autoSpaceDN w:val="0"/>
              <w:adjustRightInd w:val="0"/>
              <w:ind w:firstLine="420" w:firstLineChars="200"/>
              <w:jc w:val="both"/>
            </w:pPr>
            <w:r>
              <w:rPr>
                <w:rFonts w:hint="eastAsia"/>
              </w:rPr>
              <w:t>d）安装在户外的电气装置；</w:t>
            </w:r>
          </w:p>
          <w:p w14:paraId="5ACF4A9B">
            <w:pPr>
              <w:pStyle w:val="35"/>
              <w:tabs>
                <w:tab w:val="left" w:pos="0"/>
              </w:tabs>
              <w:autoSpaceDE w:val="0"/>
              <w:autoSpaceDN w:val="0"/>
              <w:adjustRightInd w:val="0"/>
              <w:ind w:firstLine="420" w:firstLineChars="200"/>
              <w:jc w:val="both"/>
            </w:pPr>
            <w:r>
              <w:rPr>
                <w:rFonts w:hint="eastAsia"/>
              </w:rPr>
              <w:t>h）安装在水中的供电线路和设备；</w:t>
            </w:r>
          </w:p>
          <w:p w14:paraId="5D6E0309">
            <w:pPr>
              <w:tabs>
                <w:tab w:val="left" w:pos="0"/>
              </w:tabs>
              <w:autoSpaceDE w:val="0"/>
              <w:autoSpaceDN w:val="0"/>
              <w:adjustRightInd w:val="0"/>
              <w:ind w:firstLine="0" w:firstLineChars="0"/>
              <w:jc w:val="both"/>
              <w:rPr>
                <w:b/>
                <w:bCs/>
                <w:i/>
                <w:iCs/>
              </w:rPr>
            </w:pPr>
            <w:r>
              <w:rPr>
                <w:rFonts w:hint="eastAsia"/>
                <w:b/>
                <w:bCs/>
                <w:i/>
                <w:iCs/>
              </w:rPr>
              <w:t>审查说明：雨水提升设备采用潜水泵时，属于高危工况，水泵长期浸泡雨水，电缆破皮、电机密封老化、绕组受潮等会造成水体带电，极易发生涉水触电事故，应设置末端漏电保护器且作用于跳闸。</w:t>
            </w:r>
          </w:p>
        </w:tc>
      </w:tr>
      <w:tr w14:paraId="540505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95" w:type="pct"/>
            <w:tcBorders>
              <w:tl2br w:val="nil"/>
              <w:tr2bl w:val="nil"/>
            </w:tcBorders>
            <w:vAlign w:val="center"/>
          </w:tcPr>
          <w:p w14:paraId="5B8E03E7">
            <w:pPr>
              <w:widowControl/>
              <w:numPr>
                <w:ilvl w:val="0"/>
                <w:numId w:val="5"/>
              </w:numPr>
              <w:ind w:firstLineChars="0"/>
              <w:contextualSpacing/>
              <w:jc w:val="center"/>
              <w:rPr>
                <w:rFonts w:eastAsia="黑体"/>
                <w:bCs/>
                <w:kern w:val="0"/>
                <w:szCs w:val="21"/>
              </w:rPr>
            </w:pPr>
          </w:p>
        </w:tc>
        <w:tc>
          <w:tcPr>
            <w:tcW w:w="670" w:type="pct"/>
            <w:tcBorders>
              <w:tl2br w:val="nil"/>
              <w:tr2bl w:val="nil"/>
            </w:tcBorders>
            <w:vAlign w:val="center"/>
          </w:tcPr>
          <w:p w14:paraId="72389D37">
            <w:pPr>
              <w:spacing w:line="240" w:lineRule="auto"/>
              <w:ind w:firstLine="0" w:firstLineChars="0"/>
              <w:jc w:val="center"/>
              <w:rPr>
                <w:rFonts w:eastAsiaTheme="minorEastAsia" w:cstheme="minorEastAsia"/>
                <w:szCs w:val="21"/>
              </w:rPr>
            </w:pPr>
            <w:r>
              <w:rPr>
                <w:rFonts w:hint="eastAsia" w:eastAsiaTheme="minorEastAsia" w:cstheme="minorEastAsia"/>
                <w:szCs w:val="21"/>
              </w:rPr>
              <w:t>监测</w:t>
            </w:r>
          </w:p>
        </w:tc>
        <w:tc>
          <w:tcPr>
            <w:tcW w:w="3933" w:type="pct"/>
            <w:tcBorders>
              <w:tl2br w:val="nil"/>
              <w:tr2bl w:val="nil"/>
            </w:tcBorders>
            <w:vAlign w:val="center"/>
          </w:tcPr>
          <w:p w14:paraId="00F44131">
            <w:pPr>
              <w:pStyle w:val="35"/>
              <w:tabs>
                <w:tab w:val="left" w:pos="420"/>
              </w:tabs>
              <w:jc w:val="both"/>
              <w:rPr>
                <w:rFonts w:cs="Times New Roman" w:eastAsiaTheme="minorEastAsia"/>
                <w:b/>
                <w:bCs/>
                <w:kern w:val="0"/>
                <w:szCs w:val="21"/>
              </w:rPr>
            </w:pPr>
            <w:r>
              <w:rPr>
                <w:rFonts w:hint="eastAsia" w:cs="Times New Roman" w:eastAsiaTheme="minorEastAsia"/>
                <w:b/>
                <w:bCs/>
                <w:kern w:val="0"/>
                <w:szCs w:val="21"/>
              </w:rPr>
              <w:t>《</w:t>
            </w:r>
            <w:r>
              <w:rPr>
                <w:rFonts w:cs="Times New Roman"/>
                <w:b/>
                <w:bCs/>
                <w:szCs w:val="21"/>
              </w:rPr>
              <w:t>海绵城市规划与设计标准</w:t>
            </w:r>
            <w:r>
              <w:rPr>
                <w:rFonts w:hint="eastAsia" w:cs="Times New Roman" w:eastAsiaTheme="minorEastAsia"/>
                <w:b/>
                <w:bCs/>
                <w:kern w:val="0"/>
                <w:szCs w:val="21"/>
              </w:rPr>
              <w:t>》DG/TJ 08-2298-2026</w:t>
            </w:r>
          </w:p>
          <w:p w14:paraId="3575B22B">
            <w:pPr>
              <w:pStyle w:val="35"/>
              <w:tabs>
                <w:tab w:val="left" w:pos="420"/>
              </w:tabs>
              <w:jc w:val="both"/>
              <w:rPr>
                <w:rFonts w:cs="Times New Roman" w:eastAsiaTheme="minorEastAsia"/>
                <w:kern w:val="0"/>
                <w:szCs w:val="21"/>
              </w:rPr>
            </w:pPr>
            <w:r>
              <w:rPr>
                <w:rFonts w:hint="eastAsia" w:cs="Times New Roman" w:eastAsiaTheme="minorEastAsia"/>
                <w:kern w:val="0"/>
                <w:szCs w:val="21"/>
              </w:rPr>
              <w:t>7.0.1 需开展监测的项目，应在规划设计中编制监测方案，明确监测目标、监测指标、监测点位布局、监测设备的选择和安装条件等，并明确监测对象的汇水范围。</w:t>
            </w:r>
          </w:p>
          <w:p w14:paraId="7F40EC64">
            <w:pPr>
              <w:pStyle w:val="35"/>
              <w:tabs>
                <w:tab w:val="left" w:pos="420"/>
              </w:tabs>
              <w:jc w:val="both"/>
              <w:rPr>
                <w:b/>
                <w:bCs/>
                <w:i/>
                <w:iCs/>
              </w:rPr>
            </w:pPr>
            <w:r>
              <w:rPr>
                <w:rFonts w:hint="eastAsia"/>
                <w:b/>
                <w:bCs/>
                <w:i/>
                <w:iCs/>
              </w:rPr>
              <w:t>审查说明：海绵城市建设项目可根据需要开展监测，并非所有项目都要求进行监测，具体以相关规划和主管部门要求为准。需开展监测的项目，应按本条规定在施工图设计文件中明确监测目标、监测指标、监测点位布局、监测设备的选择和安装条件等，并明确监测对象的汇水范围。</w:t>
            </w:r>
          </w:p>
          <w:p w14:paraId="78B9BCA6">
            <w:pPr>
              <w:pStyle w:val="35"/>
              <w:tabs>
                <w:tab w:val="left" w:pos="420"/>
              </w:tabs>
              <w:jc w:val="both"/>
              <w:rPr>
                <w:b/>
                <w:bCs/>
                <w:i/>
                <w:iCs/>
              </w:rPr>
            </w:pPr>
          </w:p>
          <w:p w14:paraId="0887241E">
            <w:pPr>
              <w:tabs>
                <w:tab w:val="left" w:pos="0"/>
              </w:tabs>
              <w:autoSpaceDE w:val="0"/>
              <w:autoSpaceDN w:val="0"/>
              <w:adjustRightInd w:val="0"/>
              <w:ind w:firstLine="0" w:firstLineChars="0"/>
              <w:jc w:val="both"/>
              <w:rPr>
                <w:rFonts w:cs="Times New Roman" w:eastAsiaTheme="minorEastAsia"/>
                <w:szCs w:val="21"/>
                <w:shd w:val="clear" w:color="auto" w:fill="FFFFFF"/>
              </w:rPr>
            </w:pPr>
            <w:r>
              <w:rPr>
                <w:rFonts w:hint="eastAsia" w:cs="Times New Roman" w:eastAsiaTheme="minorEastAsia"/>
                <w:szCs w:val="21"/>
                <w:shd w:val="clear" w:color="auto" w:fill="FFFFFF"/>
              </w:rPr>
              <w:t>7.0.2 建筑与小区、道路广场、绿地等项目的监测应符合下列规定：</w:t>
            </w:r>
          </w:p>
          <w:p w14:paraId="43815775">
            <w:pPr>
              <w:tabs>
                <w:tab w:val="left" w:pos="0"/>
              </w:tabs>
              <w:autoSpaceDE w:val="0"/>
              <w:autoSpaceDN w:val="0"/>
              <w:adjustRightInd w:val="0"/>
              <w:ind w:firstLine="420"/>
              <w:jc w:val="both"/>
              <w:rPr>
                <w:rFonts w:cs="Times New Roman" w:eastAsiaTheme="minorEastAsia"/>
                <w:szCs w:val="21"/>
                <w:shd w:val="clear" w:color="auto" w:fill="FFFFFF"/>
              </w:rPr>
            </w:pPr>
            <w:r>
              <w:rPr>
                <w:rFonts w:hint="eastAsia" w:cs="Times New Roman" w:eastAsiaTheme="minorEastAsia"/>
                <w:szCs w:val="21"/>
                <w:shd w:val="clear" w:color="auto" w:fill="FFFFFF"/>
              </w:rPr>
              <w:t>2 雨水回用系统应设置雨水回用计量设施和雨水储存池/调节池的液位计；监测水质参数应包括COD、SS和色度，并应符合现行国家标准《建筑与小区雨水控制及利用工程技术规范》GB50400的相关规定。</w:t>
            </w:r>
          </w:p>
        </w:tc>
      </w:tr>
    </w:tbl>
    <w:p w14:paraId="5F9FFD52">
      <w:pPr>
        <w:ind w:firstLine="0" w:firstLineChars="0"/>
      </w:pPr>
      <w:r>
        <w:br w:type="page"/>
      </w:r>
    </w:p>
    <w:p w14:paraId="17C609B5">
      <w:pPr>
        <w:pStyle w:val="3"/>
        <w:spacing w:before="156"/>
      </w:pPr>
      <w:bookmarkStart w:id="73" w:name="_Toc229573454"/>
      <w:bookmarkEnd w:id="73"/>
      <w:bookmarkStart w:id="74" w:name="_Toc228197961"/>
      <w:bookmarkEnd w:id="74"/>
      <w:bookmarkStart w:id="75" w:name="_Toc227851547"/>
      <w:bookmarkEnd w:id="75"/>
      <w:bookmarkStart w:id="76" w:name="_Toc228197962"/>
      <w:bookmarkEnd w:id="76"/>
      <w:bookmarkStart w:id="77" w:name="_Toc227851546"/>
      <w:bookmarkEnd w:id="77"/>
      <w:bookmarkStart w:id="78" w:name="_Toc229573455"/>
      <w:bookmarkEnd w:id="78"/>
      <w:bookmarkStart w:id="79" w:name="_Toc1863"/>
      <w:bookmarkStart w:id="80" w:name="_Toc232627970"/>
      <w:bookmarkStart w:id="81" w:name="_Toc2367"/>
      <w:bookmarkStart w:id="82" w:name="_Toc1293567427"/>
      <w:bookmarkStart w:id="83" w:name="_Toc27422"/>
      <w:r>
        <w:rPr>
          <w:rFonts w:hint="eastAsia"/>
        </w:rPr>
        <w:t>市政交通工程</w:t>
      </w:r>
      <w:bookmarkEnd w:id="79"/>
      <w:bookmarkEnd w:id="80"/>
      <w:bookmarkEnd w:id="81"/>
      <w:bookmarkEnd w:id="82"/>
      <w:bookmarkEnd w:id="83"/>
    </w:p>
    <w:p w14:paraId="236F3335">
      <w:pPr>
        <w:pStyle w:val="4"/>
        <w:spacing w:before="312" w:beforeLines="100"/>
      </w:pPr>
      <w:bookmarkStart w:id="84" w:name="_Toc23893"/>
      <w:r>
        <w:rPr>
          <w:rFonts w:hint="eastAsia"/>
        </w:rPr>
        <w:t>建设要求</w:t>
      </w:r>
      <w:bookmarkEnd w:id="84"/>
    </w:p>
    <w:tbl>
      <w:tblPr>
        <w:tblStyle w:val="23"/>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106"/>
        <w:gridCol w:w="6741"/>
      </w:tblGrid>
      <w:tr w14:paraId="281882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6" w:type="pct"/>
            <w:tcBorders>
              <w:tl2br w:val="nil"/>
              <w:tr2bl w:val="nil"/>
            </w:tcBorders>
            <w:vAlign w:val="center"/>
          </w:tcPr>
          <w:p w14:paraId="7C0C328B">
            <w:pPr>
              <w:widowControl/>
              <w:ind w:firstLine="0" w:firstLineChars="0"/>
              <w:jc w:val="center"/>
              <w:rPr>
                <w:rFonts w:eastAsia="黑体"/>
                <w:bCs/>
                <w:kern w:val="0"/>
                <w:szCs w:val="21"/>
              </w:rPr>
            </w:pPr>
            <w:r>
              <w:rPr>
                <w:rFonts w:hint="eastAsia" w:cs="宋体"/>
                <w:bCs/>
                <w:kern w:val="0"/>
                <w:szCs w:val="21"/>
                <w:lang w:bidi="ar"/>
              </w:rPr>
              <w:t>序号</w:t>
            </w:r>
          </w:p>
        </w:tc>
        <w:tc>
          <w:tcPr>
            <w:tcW w:w="650" w:type="pct"/>
            <w:tcBorders>
              <w:tl2br w:val="nil"/>
              <w:tr2bl w:val="nil"/>
            </w:tcBorders>
            <w:vAlign w:val="center"/>
          </w:tcPr>
          <w:p w14:paraId="7056517D">
            <w:pPr>
              <w:ind w:firstLine="0" w:firstLineChars="0"/>
              <w:jc w:val="center"/>
              <w:rPr>
                <w:rFonts w:hint="eastAsia" w:eastAsiaTheme="minorEastAsia" w:cstheme="minorEastAsia"/>
                <w:bCs/>
                <w:kern w:val="0"/>
                <w:szCs w:val="21"/>
              </w:rPr>
            </w:pPr>
            <w:r>
              <w:rPr>
                <w:rFonts w:hint="eastAsia" w:cs="宋体"/>
                <w:bCs/>
                <w:kern w:val="0"/>
                <w:szCs w:val="21"/>
                <w:lang w:bidi="ar"/>
              </w:rPr>
              <w:t>审查项目</w:t>
            </w:r>
          </w:p>
        </w:tc>
        <w:tc>
          <w:tcPr>
            <w:tcW w:w="3962" w:type="pct"/>
            <w:tcBorders>
              <w:tl2br w:val="nil"/>
              <w:tr2bl w:val="nil"/>
            </w:tcBorders>
            <w:vAlign w:val="center"/>
          </w:tcPr>
          <w:p w14:paraId="0541D4CC">
            <w:pPr>
              <w:widowControl/>
              <w:ind w:firstLine="0" w:firstLineChars="0"/>
              <w:jc w:val="center"/>
              <w:rPr>
                <w:rFonts w:hint="eastAsia" w:cs="Times New Roman"/>
                <w:b/>
                <w:bCs/>
                <w:i/>
                <w:iCs/>
                <w:szCs w:val="21"/>
              </w:rPr>
            </w:pPr>
            <w:r>
              <w:rPr>
                <w:rFonts w:hint="eastAsia" w:cs="宋体"/>
                <w:bCs/>
                <w:kern w:val="0"/>
                <w:szCs w:val="21"/>
                <w:lang w:bidi="ar"/>
              </w:rPr>
              <w:t>审查的标准及条文</w:t>
            </w:r>
          </w:p>
        </w:tc>
      </w:tr>
      <w:tr w14:paraId="06C447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6" w:type="pct"/>
            <w:tcBorders>
              <w:tl2br w:val="nil"/>
              <w:tr2bl w:val="nil"/>
            </w:tcBorders>
            <w:vAlign w:val="center"/>
          </w:tcPr>
          <w:p w14:paraId="7985E1DE">
            <w:pPr>
              <w:widowControl/>
              <w:numPr>
                <w:ilvl w:val="0"/>
                <w:numId w:val="6"/>
              </w:numPr>
              <w:ind w:firstLineChars="0"/>
              <w:contextualSpacing/>
              <w:jc w:val="center"/>
              <w:rPr>
                <w:rFonts w:eastAsia="黑体"/>
                <w:bCs/>
                <w:kern w:val="0"/>
                <w:szCs w:val="21"/>
              </w:rPr>
            </w:pPr>
          </w:p>
        </w:tc>
        <w:tc>
          <w:tcPr>
            <w:tcW w:w="650" w:type="pct"/>
            <w:tcBorders>
              <w:tl2br w:val="nil"/>
              <w:tr2bl w:val="nil"/>
            </w:tcBorders>
            <w:vAlign w:val="center"/>
          </w:tcPr>
          <w:p w14:paraId="7AFC0AD5">
            <w:pPr>
              <w:ind w:firstLine="0" w:firstLineChars="0"/>
              <w:jc w:val="center"/>
              <w:rPr>
                <w:rFonts w:eastAsiaTheme="minorEastAsia" w:cstheme="minorEastAsia"/>
                <w:bCs/>
                <w:kern w:val="0"/>
                <w:szCs w:val="21"/>
              </w:rPr>
            </w:pPr>
            <w:r>
              <w:rPr>
                <w:rFonts w:hint="eastAsia" w:eastAsiaTheme="minorEastAsia" w:cstheme="minorEastAsia"/>
                <w:bCs/>
                <w:kern w:val="0"/>
                <w:szCs w:val="21"/>
              </w:rPr>
              <w:t>建设要求</w:t>
            </w:r>
          </w:p>
        </w:tc>
        <w:tc>
          <w:tcPr>
            <w:tcW w:w="3962" w:type="pct"/>
            <w:tcBorders>
              <w:tl2br w:val="nil"/>
              <w:tr2bl w:val="nil"/>
            </w:tcBorders>
            <w:vAlign w:val="center"/>
          </w:tcPr>
          <w:p w14:paraId="323895D3">
            <w:pPr>
              <w:pStyle w:val="35"/>
              <w:tabs>
                <w:tab w:val="left" w:pos="420"/>
              </w:tabs>
              <w:rPr>
                <w:rFonts w:cs="Times New Roman"/>
                <w:b/>
                <w:bCs/>
                <w:szCs w:val="21"/>
              </w:rPr>
            </w:pPr>
            <w:r>
              <w:rPr>
                <w:rFonts w:hint="eastAsia" w:cs="Times New Roman"/>
                <w:b/>
                <w:bCs/>
                <w:szCs w:val="21"/>
              </w:rPr>
              <w:t>《海绵城市规划与设计标准》DG/TJ 08-2298-2026</w:t>
            </w:r>
          </w:p>
          <w:p w14:paraId="3FD890A6">
            <w:pPr>
              <w:pStyle w:val="35"/>
              <w:tabs>
                <w:tab w:val="left" w:pos="420"/>
              </w:tabs>
              <w:rPr>
                <w:rFonts w:cs="Times New Roman"/>
                <w:szCs w:val="21"/>
              </w:rPr>
            </w:pPr>
            <w:r>
              <w:rPr>
                <w:rFonts w:hint="eastAsia" w:cs="Times New Roman"/>
                <w:szCs w:val="21"/>
              </w:rPr>
              <w:t>3.0.3</w:t>
            </w:r>
            <w:r>
              <w:rPr>
                <w:rFonts w:hint="eastAsia" w:cs="Times New Roman"/>
                <w:szCs w:val="21"/>
                <w:lang w:val="en-US" w:eastAsia="zh-CN"/>
              </w:rPr>
              <w:t xml:space="preserve"> </w:t>
            </w:r>
            <w:r>
              <w:rPr>
                <w:rFonts w:hint="eastAsia" w:cs="Times New Roman"/>
                <w:szCs w:val="21"/>
              </w:rPr>
              <w:t>新、改、扩建项目应落实海绵城市建设要求。</w:t>
            </w:r>
          </w:p>
          <w:p w14:paraId="723217B4">
            <w:pPr>
              <w:pStyle w:val="35"/>
              <w:tabs>
                <w:tab w:val="left" w:pos="420"/>
              </w:tabs>
              <w:rPr>
                <w:rFonts w:cs="Times New Roman"/>
                <w:b/>
                <w:bCs/>
                <w:i/>
                <w:iCs/>
                <w:szCs w:val="21"/>
              </w:rPr>
            </w:pPr>
            <w:r>
              <w:rPr>
                <w:rFonts w:hint="eastAsia" w:cs="Times New Roman"/>
                <w:b/>
                <w:bCs/>
                <w:i/>
                <w:iCs/>
                <w:szCs w:val="21"/>
              </w:rPr>
              <w:t>审查说明：根据本市系统化全域推进海绵城市建设的要求，除纳入《关于进一步加强本市建设工程海绵城市施工图设计审查和竣工验收管理的有关通知》（沪建综规〔2023〕374号）规定豁免清单的项目外，其余各类项目均需落实海绵城市建设要求，海绵城市建设指标一般由市级、区级海绵城市建设规划和片区系统方案确定，具体以海绵城市主管部门在土地出让或设计条件中核提的指标要求为准，与方案设计阶段保持一致。</w:t>
            </w:r>
          </w:p>
        </w:tc>
      </w:tr>
    </w:tbl>
    <w:p w14:paraId="32FFB336">
      <w:pPr>
        <w:pStyle w:val="4"/>
        <w:spacing w:before="312" w:beforeLines="100"/>
      </w:pPr>
      <w:bookmarkStart w:id="85" w:name="_Toc232627971"/>
      <w:bookmarkStart w:id="86" w:name="_Toc13397"/>
      <w:bookmarkStart w:id="87" w:name="_Toc10554"/>
      <w:bookmarkStart w:id="88" w:name="_Toc23565"/>
      <w:bookmarkStart w:id="89" w:name="_Toc1438181554"/>
      <w:r>
        <w:rPr>
          <w:rFonts w:hint="eastAsia"/>
        </w:rPr>
        <w:t>道路专业</w:t>
      </w:r>
      <w:bookmarkEnd w:id="85"/>
      <w:bookmarkEnd w:id="86"/>
      <w:bookmarkEnd w:id="87"/>
      <w:bookmarkEnd w:id="88"/>
      <w:bookmarkEnd w:id="89"/>
    </w:p>
    <w:tbl>
      <w:tblPr>
        <w:tblStyle w:val="23"/>
        <w:tblW w:w="5000" w:type="pct"/>
        <w:jc w:val="center"/>
        <w:tblBorders>
          <w:top w:val="single" w:color="auto" w:sz="8" w:space="0"/>
          <w:left w:val="none" w:color="auto" w:sz="6" w:space="0"/>
          <w:bottom w:val="single" w:color="auto" w:sz="8" w:space="0"/>
          <w:right w:val="non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106"/>
        <w:gridCol w:w="6742"/>
      </w:tblGrid>
      <w:tr w14:paraId="4879C92F">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86" w:type="pct"/>
            <w:tcBorders>
              <w:top w:val="single" w:color="auto" w:sz="8" w:space="0"/>
              <w:left w:val="nil"/>
              <w:bottom w:val="single" w:color="auto" w:sz="4" w:space="0"/>
              <w:right w:val="single" w:color="auto" w:sz="4" w:space="0"/>
            </w:tcBorders>
            <w:vAlign w:val="center"/>
          </w:tcPr>
          <w:p w14:paraId="168AEAE6">
            <w:pPr>
              <w:widowControl/>
              <w:ind w:firstLine="0" w:firstLineChars="0"/>
              <w:jc w:val="center"/>
              <w:rPr>
                <w:rFonts w:cs="宋体"/>
                <w:bCs/>
                <w:kern w:val="0"/>
                <w:szCs w:val="21"/>
              </w:rPr>
            </w:pPr>
            <w:r>
              <w:rPr>
                <w:rFonts w:hint="eastAsia" w:cs="宋体"/>
                <w:bCs/>
                <w:kern w:val="0"/>
                <w:szCs w:val="21"/>
                <w:lang w:bidi="ar"/>
              </w:rPr>
              <w:t>序号</w:t>
            </w:r>
          </w:p>
        </w:tc>
        <w:tc>
          <w:tcPr>
            <w:tcW w:w="650" w:type="pct"/>
            <w:tcBorders>
              <w:top w:val="single" w:color="auto" w:sz="8" w:space="0"/>
              <w:left w:val="single" w:color="auto" w:sz="4" w:space="0"/>
              <w:bottom w:val="single" w:color="auto" w:sz="4" w:space="0"/>
              <w:right w:val="single" w:color="auto" w:sz="4" w:space="0"/>
            </w:tcBorders>
            <w:vAlign w:val="center"/>
          </w:tcPr>
          <w:p w14:paraId="6A622995">
            <w:pPr>
              <w:ind w:firstLine="0" w:firstLineChars="0"/>
              <w:jc w:val="center"/>
              <w:rPr>
                <w:rFonts w:cs="宋体"/>
                <w:bCs/>
                <w:kern w:val="0"/>
                <w:szCs w:val="21"/>
              </w:rPr>
            </w:pPr>
            <w:r>
              <w:rPr>
                <w:rFonts w:hint="eastAsia" w:cs="宋体"/>
                <w:bCs/>
                <w:kern w:val="0"/>
                <w:szCs w:val="21"/>
                <w:lang w:bidi="ar"/>
              </w:rPr>
              <w:t>审查项目</w:t>
            </w:r>
          </w:p>
        </w:tc>
        <w:tc>
          <w:tcPr>
            <w:tcW w:w="3963" w:type="pct"/>
            <w:tcBorders>
              <w:top w:val="single" w:color="auto" w:sz="8" w:space="0"/>
              <w:left w:val="single" w:color="auto" w:sz="4" w:space="0"/>
              <w:bottom w:val="single" w:color="auto" w:sz="4" w:space="0"/>
              <w:right w:val="nil"/>
            </w:tcBorders>
            <w:vAlign w:val="center"/>
          </w:tcPr>
          <w:p w14:paraId="52E22387">
            <w:pPr>
              <w:widowControl/>
              <w:ind w:firstLine="0" w:firstLineChars="0"/>
              <w:jc w:val="center"/>
              <w:rPr>
                <w:rFonts w:cs="宋体"/>
                <w:bCs/>
                <w:kern w:val="0"/>
                <w:szCs w:val="21"/>
              </w:rPr>
            </w:pPr>
            <w:r>
              <w:rPr>
                <w:rFonts w:hint="eastAsia" w:cs="宋体"/>
                <w:bCs/>
                <w:kern w:val="0"/>
                <w:szCs w:val="21"/>
                <w:lang w:bidi="ar"/>
              </w:rPr>
              <w:t>审查的标准及条文</w:t>
            </w:r>
          </w:p>
        </w:tc>
      </w:tr>
      <w:tr w14:paraId="2BE0DD78">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6" w:type="pct"/>
            <w:tcBorders>
              <w:top w:val="single" w:color="auto" w:sz="4" w:space="0"/>
              <w:left w:val="nil"/>
              <w:bottom w:val="single" w:color="auto" w:sz="4" w:space="0"/>
              <w:right w:val="single" w:color="auto" w:sz="4" w:space="0"/>
            </w:tcBorders>
            <w:vAlign w:val="center"/>
          </w:tcPr>
          <w:p w14:paraId="0327F36F">
            <w:pPr>
              <w:widowControl/>
              <w:numPr>
                <w:ilvl w:val="0"/>
                <w:numId w:val="0"/>
              </w:numPr>
              <w:tabs>
                <w:tab w:val="left" w:pos="0"/>
              </w:tabs>
              <w:ind w:firstLine="0" w:firstLineChars="0"/>
              <w:jc w:val="center"/>
              <w:rPr>
                <w:rFonts w:eastAsia="黑体" w:cs="Times New Roman"/>
                <w:bCs/>
                <w:kern w:val="0"/>
                <w:szCs w:val="21"/>
              </w:rPr>
            </w:pPr>
            <w:r>
              <w:rPr>
                <w:rFonts w:hint="default" w:ascii="Times New Roman" w:hAnsi="Times New Roman" w:eastAsia="黑体" w:cs="Times New Roman"/>
                <w:b w:val="0"/>
                <w:bCs w:val="0"/>
                <w:kern w:val="0"/>
                <w:sz w:val="21"/>
                <w:szCs w:val="21"/>
                <w:lang w:val="en-US" w:eastAsia="zh-CN" w:bidi="ar-SA"/>
              </w:rPr>
              <w:t>1</w:t>
            </w:r>
          </w:p>
        </w:tc>
        <w:tc>
          <w:tcPr>
            <w:tcW w:w="650" w:type="pct"/>
            <w:tcBorders>
              <w:top w:val="single" w:color="auto" w:sz="4" w:space="0"/>
              <w:left w:val="single" w:color="auto" w:sz="4" w:space="0"/>
              <w:bottom w:val="single" w:color="auto" w:sz="4" w:space="0"/>
              <w:right w:val="single" w:color="auto" w:sz="4" w:space="0"/>
            </w:tcBorders>
            <w:vAlign w:val="center"/>
          </w:tcPr>
          <w:p w14:paraId="2EB29742">
            <w:pPr>
              <w:ind w:firstLine="0" w:firstLineChars="0"/>
              <w:jc w:val="center"/>
              <w:rPr>
                <w:rFonts w:cs="宋体"/>
                <w:bCs/>
                <w:kern w:val="0"/>
                <w:szCs w:val="21"/>
              </w:rPr>
            </w:pPr>
            <w:r>
              <w:rPr>
                <w:rFonts w:hint="eastAsia" w:cs="宋体"/>
                <w:bCs/>
                <w:kern w:val="0"/>
                <w:szCs w:val="21"/>
                <w:lang w:bidi="ar"/>
              </w:rPr>
              <w:t>总体布局和竖向设计</w:t>
            </w:r>
          </w:p>
        </w:tc>
        <w:tc>
          <w:tcPr>
            <w:tcW w:w="3963" w:type="pct"/>
            <w:tcBorders>
              <w:top w:val="single" w:color="auto" w:sz="4" w:space="0"/>
              <w:left w:val="single" w:color="auto" w:sz="4" w:space="0"/>
              <w:bottom w:val="single" w:color="auto" w:sz="4" w:space="0"/>
              <w:right w:val="nil"/>
            </w:tcBorders>
            <w:vAlign w:val="center"/>
          </w:tcPr>
          <w:p w14:paraId="14617FB8">
            <w:pPr>
              <w:pStyle w:val="20"/>
              <w:tabs>
                <w:tab w:val="left" w:pos="420"/>
              </w:tabs>
              <w:ind w:firstLine="0" w:firstLineChars="0"/>
              <w:rPr>
                <w:rFonts w:cs="Times New Roman"/>
                <w:b/>
                <w:bCs/>
                <w:sz w:val="21"/>
                <w:szCs w:val="21"/>
              </w:rPr>
            </w:pPr>
            <w:r>
              <w:rPr>
                <w:rFonts w:hint="eastAsia" w:cs="宋体"/>
                <w:b/>
                <w:bCs/>
                <w:sz w:val="21"/>
                <w:szCs w:val="21"/>
                <w:lang w:bidi="ar"/>
              </w:rPr>
              <w:t>《海绵城市规划与设计标准》DG/TJ 08-2298-2026</w:t>
            </w:r>
          </w:p>
          <w:p w14:paraId="7B6D7DEC">
            <w:pPr>
              <w:pStyle w:val="20"/>
              <w:tabs>
                <w:tab w:val="left" w:pos="420"/>
              </w:tabs>
              <w:ind w:firstLine="0" w:firstLineChars="0"/>
              <w:rPr>
                <w:rFonts w:cs="Times New Roman"/>
                <w:sz w:val="21"/>
                <w:szCs w:val="21"/>
              </w:rPr>
            </w:pPr>
            <w:r>
              <w:rPr>
                <w:rFonts w:cs="Times New Roman"/>
                <w:sz w:val="21"/>
                <w:szCs w:val="21"/>
                <w:lang w:bidi="ar"/>
              </w:rPr>
              <w:t xml:space="preserve">6.3.6 </w:t>
            </w:r>
            <w:r>
              <w:rPr>
                <w:rFonts w:hint="eastAsia" w:cs="宋体"/>
                <w:sz w:val="21"/>
                <w:szCs w:val="21"/>
                <w:lang w:bidi="ar"/>
              </w:rPr>
              <w:t>当紧邻道路红线的绿地设计标高低于人行道时，应根据道路坡向使红线内人行道、专用非机动车道和绿地周边地表径流汇入绿地中进行滞留与净化，宜结合场地条件设置植草沟和生物滞留设施等，控制径流污染。</w:t>
            </w:r>
          </w:p>
          <w:p w14:paraId="3284BCE6">
            <w:pPr>
              <w:pStyle w:val="20"/>
              <w:tabs>
                <w:tab w:val="left" w:pos="420"/>
              </w:tabs>
              <w:ind w:firstLine="0" w:firstLineChars="0"/>
              <w:rPr>
                <w:rFonts w:cs="Times New Roman"/>
                <w:sz w:val="21"/>
                <w:szCs w:val="21"/>
              </w:rPr>
            </w:pPr>
            <w:r>
              <w:rPr>
                <w:rFonts w:cs="Times New Roman"/>
                <w:sz w:val="21"/>
                <w:szCs w:val="21"/>
                <w:lang w:bidi="ar"/>
              </w:rPr>
              <w:t xml:space="preserve">6.3.7 </w:t>
            </w:r>
            <w:r>
              <w:rPr>
                <w:rFonts w:hint="eastAsia" w:cs="宋体"/>
                <w:sz w:val="21"/>
                <w:szCs w:val="21"/>
                <w:lang w:bidi="ar"/>
              </w:rPr>
              <w:t>道路的总体布局和竖向设计应结合红线内外绿地空间、道路纵坡和横断面、市政雨水排水系统布局等，充分利用既有条件合理布置海绵城市设施，并应符合下列规定：</w:t>
            </w:r>
          </w:p>
          <w:p w14:paraId="294F8844">
            <w:pPr>
              <w:pStyle w:val="20"/>
              <w:tabs>
                <w:tab w:val="left" w:pos="420"/>
              </w:tabs>
              <w:ind w:firstLine="420"/>
              <w:rPr>
                <w:rFonts w:cs="Times New Roman"/>
                <w:sz w:val="21"/>
                <w:szCs w:val="21"/>
              </w:rPr>
            </w:pPr>
            <w:r>
              <w:rPr>
                <w:rFonts w:cs="Times New Roman"/>
                <w:sz w:val="21"/>
                <w:szCs w:val="21"/>
                <w:lang w:bidi="ar"/>
              </w:rPr>
              <w:t xml:space="preserve">4 </w:t>
            </w:r>
            <w:r>
              <w:rPr>
                <w:rFonts w:hint="eastAsia" w:cs="宋体"/>
                <w:sz w:val="21"/>
                <w:szCs w:val="21"/>
                <w:lang w:bidi="ar"/>
              </w:rPr>
              <w:t>城区内下穿式立交桥、低洼道路或广场等建设或改造应充分利用周边现有绿地空间，建设分散式调蓄净化设施。</w:t>
            </w:r>
          </w:p>
          <w:p w14:paraId="7A550D01">
            <w:pPr>
              <w:pStyle w:val="20"/>
              <w:tabs>
                <w:tab w:val="left" w:pos="420"/>
              </w:tabs>
              <w:ind w:firstLine="0" w:firstLineChars="0"/>
              <w:rPr>
                <w:rFonts w:hint="eastAsia" w:cs="宋体"/>
                <w:b/>
                <w:bCs/>
                <w:i/>
                <w:iCs/>
                <w:sz w:val="21"/>
                <w:szCs w:val="21"/>
                <w:lang w:bidi="ar"/>
              </w:rPr>
            </w:pPr>
            <w:r>
              <w:rPr>
                <w:rFonts w:hint="eastAsia" w:cs="宋体"/>
                <w:b/>
                <w:bCs/>
                <w:i/>
                <w:iCs/>
                <w:sz w:val="21"/>
                <w:szCs w:val="21"/>
                <w:lang w:bidi="ar"/>
              </w:rPr>
              <w:t>审查说明：道路的总体布局和竖向设计应有利于充分利用红线内外绿地空间进行海绵城市设计。设计文件应明确项目下垫面的绿地标高、路面标高及坡向情况。根据雨水径流组织技术路线，复核场地的主要控制标高、坡向是否合理。场地排水不应存在漏排、积水、易涝点。路面标高和汇水流向应有利于雨水排放及汇入海绵城市设施。</w:t>
            </w:r>
          </w:p>
        </w:tc>
      </w:tr>
      <w:tr w14:paraId="2DD96967">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6" w:type="pct"/>
            <w:tcBorders>
              <w:top w:val="single" w:color="auto" w:sz="4" w:space="0"/>
              <w:left w:val="nil"/>
              <w:bottom w:val="single" w:color="auto" w:sz="4" w:space="0"/>
              <w:right w:val="single" w:color="auto" w:sz="4" w:space="0"/>
            </w:tcBorders>
            <w:vAlign w:val="center"/>
          </w:tcPr>
          <w:p w14:paraId="6C9D130B">
            <w:pPr>
              <w:widowControl/>
              <w:numPr>
                <w:ilvl w:val="0"/>
                <w:numId w:val="0"/>
              </w:numPr>
              <w:tabs>
                <w:tab w:val="left" w:pos="0"/>
              </w:tabs>
              <w:ind w:firstLine="0" w:firstLineChars="0"/>
              <w:jc w:val="center"/>
              <w:rPr>
                <w:rFonts w:eastAsia="黑体" w:cs="Times New Roman"/>
                <w:bCs/>
                <w:kern w:val="0"/>
                <w:szCs w:val="21"/>
              </w:rPr>
            </w:pPr>
            <w:r>
              <w:rPr>
                <w:rFonts w:hint="default" w:ascii="Times New Roman" w:hAnsi="Times New Roman" w:eastAsia="黑体" w:cs="Times New Roman"/>
                <w:b w:val="0"/>
                <w:bCs w:val="0"/>
                <w:kern w:val="0"/>
                <w:sz w:val="21"/>
                <w:szCs w:val="21"/>
                <w:lang w:val="en-US" w:eastAsia="zh-CN" w:bidi="ar-SA"/>
              </w:rPr>
              <w:t>2</w:t>
            </w:r>
          </w:p>
        </w:tc>
        <w:tc>
          <w:tcPr>
            <w:tcW w:w="650" w:type="pct"/>
            <w:tcBorders>
              <w:top w:val="single" w:color="auto" w:sz="4" w:space="0"/>
              <w:left w:val="single" w:color="auto" w:sz="4" w:space="0"/>
              <w:bottom w:val="single" w:color="auto" w:sz="4" w:space="0"/>
              <w:right w:val="single" w:color="auto" w:sz="4" w:space="0"/>
            </w:tcBorders>
            <w:vAlign w:val="center"/>
          </w:tcPr>
          <w:p w14:paraId="60F06DA7">
            <w:pPr>
              <w:ind w:firstLine="0" w:firstLineChars="0"/>
              <w:jc w:val="center"/>
              <w:rPr>
                <w:rFonts w:cs="宋体"/>
                <w:bCs/>
                <w:kern w:val="0"/>
                <w:szCs w:val="21"/>
              </w:rPr>
            </w:pPr>
            <w:r>
              <w:rPr>
                <w:rFonts w:hint="eastAsia" w:cs="宋体"/>
                <w:bCs/>
                <w:kern w:val="0"/>
                <w:szCs w:val="21"/>
                <w:lang w:bidi="ar"/>
              </w:rPr>
              <w:t>海绵设施</w:t>
            </w:r>
          </w:p>
        </w:tc>
        <w:tc>
          <w:tcPr>
            <w:tcW w:w="3963" w:type="pct"/>
            <w:tcBorders>
              <w:top w:val="single" w:color="auto" w:sz="4" w:space="0"/>
              <w:left w:val="single" w:color="auto" w:sz="4" w:space="0"/>
              <w:bottom w:val="single" w:color="auto" w:sz="4" w:space="0"/>
              <w:right w:val="nil"/>
            </w:tcBorders>
            <w:vAlign w:val="center"/>
          </w:tcPr>
          <w:p w14:paraId="3A5D59FE">
            <w:pPr>
              <w:pStyle w:val="20"/>
              <w:tabs>
                <w:tab w:val="left" w:pos="0"/>
              </w:tabs>
              <w:ind w:firstLine="0" w:firstLineChars="0"/>
              <w:rPr>
                <w:rFonts w:hint="eastAsia" w:cs="宋体"/>
                <w:b/>
                <w:bCs/>
                <w:sz w:val="21"/>
                <w:szCs w:val="21"/>
                <w:lang w:bidi="ar"/>
              </w:rPr>
            </w:pPr>
            <w:r>
              <w:rPr>
                <w:rFonts w:hint="eastAsia" w:cs="宋体"/>
                <w:b/>
                <w:bCs/>
                <w:sz w:val="21"/>
                <w:szCs w:val="21"/>
                <w:lang w:bidi="ar"/>
              </w:rPr>
              <w:t>《海绵城市规划与设计标准》DG/TJ 08-2298-2026</w:t>
            </w:r>
          </w:p>
          <w:p w14:paraId="7A933F45">
            <w:pPr>
              <w:pStyle w:val="20"/>
              <w:tabs>
                <w:tab w:val="left" w:pos="0"/>
              </w:tabs>
              <w:ind w:firstLine="0" w:firstLineChars="0"/>
              <w:rPr>
                <w:rFonts w:cs="Times New Roman"/>
                <w:sz w:val="21"/>
                <w:szCs w:val="21"/>
              </w:rPr>
            </w:pPr>
            <w:r>
              <w:rPr>
                <w:rFonts w:cs="Times New Roman"/>
                <w:sz w:val="21"/>
                <w:szCs w:val="21"/>
                <w:lang w:bidi="ar"/>
              </w:rPr>
              <w:t>6.4.10</w:t>
            </w:r>
            <w:r>
              <w:rPr>
                <w:rFonts w:hint="eastAsia" w:cs="Times New Roman"/>
                <w:sz w:val="21"/>
                <w:szCs w:val="21"/>
                <w:lang w:val="en-US" w:eastAsia="zh-CN" w:bidi="ar"/>
              </w:rPr>
              <w:t xml:space="preserve"> </w:t>
            </w:r>
            <w:r>
              <w:rPr>
                <w:rFonts w:hint="eastAsia" w:cs="宋体"/>
                <w:sz w:val="21"/>
                <w:szCs w:val="21"/>
                <w:lang w:bidi="ar"/>
              </w:rPr>
              <w:t>生物滞留设施设计应符合下列规定：</w:t>
            </w:r>
          </w:p>
          <w:p w14:paraId="0F37B1E5">
            <w:pPr>
              <w:pStyle w:val="20"/>
              <w:tabs>
                <w:tab w:val="left" w:pos="420"/>
              </w:tabs>
              <w:ind w:firstLine="420"/>
              <w:rPr>
                <w:rFonts w:ascii="Times New Roman" w:hAnsi="Times New Roman" w:eastAsia="宋体" w:cs="Times New Roman"/>
                <w:sz w:val="21"/>
                <w:szCs w:val="21"/>
                <w:lang w:bidi="ar"/>
              </w:rPr>
            </w:pPr>
            <w:r>
              <w:rPr>
                <w:rFonts w:ascii="Times New Roman" w:hAnsi="Times New Roman" w:eastAsia="宋体" w:cs="Times New Roman"/>
                <w:sz w:val="21"/>
                <w:szCs w:val="21"/>
                <w:lang w:bidi="ar"/>
              </w:rPr>
              <w:t xml:space="preserve">8 </w:t>
            </w:r>
            <w:r>
              <w:rPr>
                <w:rFonts w:hint="default" w:ascii="Times New Roman" w:hAnsi="Times New Roman" w:eastAsia="宋体" w:cs="Times New Roman"/>
                <w:sz w:val="21"/>
                <w:szCs w:val="21"/>
                <w:lang w:bidi="ar"/>
              </w:rPr>
              <w:t>当生物滞留设施等源头减排设施的蓄水层设计深度大于</w:t>
            </w:r>
            <w:r>
              <w:rPr>
                <w:rFonts w:ascii="Times New Roman" w:hAnsi="Times New Roman" w:eastAsia="宋体" w:cs="Times New Roman"/>
                <w:sz w:val="21"/>
                <w:szCs w:val="21"/>
                <w:lang w:bidi="ar"/>
              </w:rPr>
              <w:t>300mm</w:t>
            </w:r>
            <w:r>
              <w:rPr>
                <w:rFonts w:hint="default" w:ascii="Times New Roman" w:hAnsi="Times New Roman" w:eastAsia="宋体" w:cs="Times New Roman"/>
                <w:sz w:val="21"/>
                <w:szCs w:val="21"/>
                <w:lang w:bidi="ar"/>
              </w:rPr>
              <w:t>时，应设置固定围护栏杆或安全警示标志。</w:t>
            </w:r>
          </w:p>
          <w:p w14:paraId="24E62782">
            <w:pPr>
              <w:pStyle w:val="20"/>
              <w:tabs>
                <w:tab w:val="left" w:pos="0"/>
              </w:tabs>
              <w:ind w:firstLine="0" w:firstLineChars="0"/>
              <w:rPr>
                <w:rFonts w:cs="Times New Roman"/>
                <w:sz w:val="21"/>
                <w:szCs w:val="21"/>
              </w:rPr>
            </w:pPr>
            <w:r>
              <w:rPr>
                <w:rFonts w:cs="Times New Roman"/>
                <w:sz w:val="21"/>
                <w:szCs w:val="21"/>
                <w:lang w:bidi="ar"/>
              </w:rPr>
              <w:t>6.4.11</w:t>
            </w:r>
            <w:r>
              <w:rPr>
                <w:rFonts w:hint="eastAsia" w:cs="Times New Roman"/>
                <w:sz w:val="21"/>
                <w:szCs w:val="21"/>
                <w:lang w:val="en-US" w:eastAsia="zh-CN" w:bidi="ar"/>
              </w:rPr>
              <w:t xml:space="preserve"> </w:t>
            </w:r>
            <w:r>
              <w:rPr>
                <w:rFonts w:hint="eastAsia" w:cs="宋体"/>
                <w:sz w:val="21"/>
                <w:szCs w:val="21"/>
                <w:lang w:bidi="ar"/>
              </w:rPr>
              <w:t>机非绿化分隔带采用生物滞留设施收集道路雨水时，应符合下列规定</w:t>
            </w:r>
            <w:r>
              <w:rPr>
                <w:rFonts w:hint="eastAsia" w:cs="Times New Roman"/>
                <w:sz w:val="21"/>
                <w:szCs w:val="21"/>
                <w:lang w:bidi="ar"/>
              </w:rPr>
              <w:t>：</w:t>
            </w:r>
          </w:p>
          <w:p w14:paraId="3B4E3F86">
            <w:pPr>
              <w:pStyle w:val="20"/>
              <w:tabs>
                <w:tab w:val="left" w:pos="420"/>
              </w:tabs>
              <w:ind w:firstLine="420"/>
              <w:rPr>
                <w:rFonts w:ascii="Times New Roman" w:hAnsi="Times New Roman" w:eastAsia="宋体" w:cs="Times New Roman"/>
                <w:sz w:val="21"/>
                <w:szCs w:val="21"/>
                <w:lang w:bidi="ar"/>
              </w:rPr>
            </w:pPr>
            <w:r>
              <w:rPr>
                <w:rFonts w:ascii="Times New Roman" w:hAnsi="Times New Roman" w:eastAsia="宋体" w:cs="Times New Roman"/>
                <w:sz w:val="21"/>
                <w:szCs w:val="21"/>
                <w:lang w:bidi="ar"/>
              </w:rPr>
              <w:t xml:space="preserve">1 </w:t>
            </w:r>
            <w:r>
              <w:rPr>
                <w:rFonts w:hint="default" w:ascii="Times New Roman" w:hAnsi="Times New Roman" w:eastAsia="宋体" w:cs="Times New Roman"/>
                <w:sz w:val="21"/>
                <w:szCs w:val="21"/>
                <w:lang w:bidi="ar"/>
              </w:rPr>
              <w:t>综合考虑绿化相关规划要求和生物滞留设施占地需求，设置生物滞留设施的机非绿化分隔带宽度应大于</w:t>
            </w:r>
            <w:r>
              <w:rPr>
                <w:rFonts w:ascii="Times New Roman" w:hAnsi="Times New Roman" w:eastAsia="宋体" w:cs="Times New Roman"/>
                <w:sz w:val="21"/>
                <w:szCs w:val="21"/>
                <w:lang w:bidi="ar"/>
              </w:rPr>
              <w:t>1.5m</w:t>
            </w:r>
            <w:r>
              <w:rPr>
                <w:rFonts w:hint="default" w:ascii="Times New Roman" w:hAnsi="Times New Roman" w:eastAsia="宋体" w:cs="Times New Roman"/>
                <w:sz w:val="21"/>
                <w:szCs w:val="21"/>
                <w:lang w:bidi="ar"/>
              </w:rPr>
              <w:t>。</w:t>
            </w:r>
          </w:p>
          <w:p w14:paraId="5A2CC524">
            <w:pPr>
              <w:pStyle w:val="20"/>
              <w:numPr>
                <w:ilvl w:val="-1"/>
                <w:numId w:val="0"/>
              </w:numPr>
              <w:tabs>
                <w:tab w:val="left" w:pos="420"/>
              </w:tabs>
              <w:ind w:firstLine="420"/>
              <w:rPr>
                <w:rFonts w:hint="default" w:ascii="Times New Roman" w:hAnsi="Times New Roman" w:eastAsia="宋体" w:cs="Times New Roman"/>
                <w:b w:val="0"/>
                <w:bCs w:val="0"/>
                <w:kern w:val="2"/>
                <w:sz w:val="21"/>
                <w:szCs w:val="21"/>
                <w:lang w:val="en-US" w:eastAsia="zh-CN" w:bidi="ar"/>
              </w:rPr>
            </w:pPr>
            <w:r>
              <w:rPr>
                <w:rFonts w:ascii="Times New Roman" w:hAnsi="Times New Roman" w:eastAsia="宋体" w:cs="Times New Roman"/>
                <w:sz w:val="21"/>
                <w:szCs w:val="21"/>
                <w:lang w:bidi="ar"/>
              </w:rPr>
              <w:t xml:space="preserve">2 </w:t>
            </w:r>
            <w:r>
              <w:rPr>
                <w:rFonts w:hint="default" w:ascii="Times New Roman" w:hAnsi="Times New Roman" w:eastAsia="宋体" w:cs="Times New Roman"/>
                <w:sz w:val="21"/>
                <w:szCs w:val="21"/>
                <w:lang w:bidi="ar"/>
              </w:rPr>
              <w:t>机非绿化分隔带内的生物滞留设施宜分段设置，设施宽度应根据道路机非绿化分隔带宽度确定，每段长度应根据服务道路的径流控制要求确定。</w:t>
            </w:r>
          </w:p>
          <w:p w14:paraId="7AB8DEFC">
            <w:pPr>
              <w:pStyle w:val="20"/>
              <w:numPr>
                <w:ilvl w:val="-1"/>
                <w:numId w:val="0"/>
              </w:numPr>
              <w:tabs>
                <w:tab w:val="left" w:pos="420"/>
              </w:tabs>
              <w:ind w:firstLine="420"/>
              <w:rPr>
                <w:rFonts w:ascii="Times New Roman" w:hAnsi="Times New Roman" w:eastAsia="宋体" w:cs="Times New Roman"/>
                <w:sz w:val="21"/>
                <w:szCs w:val="21"/>
                <w:lang w:bidi="ar"/>
              </w:rPr>
            </w:pPr>
            <w:r>
              <w:rPr>
                <w:rFonts w:hint="default" w:ascii="Times New Roman" w:hAnsi="Times New Roman" w:eastAsia="宋体" w:cs="Times New Roman"/>
                <w:b w:val="0"/>
                <w:bCs w:val="0"/>
                <w:kern w:val="2"/>
                <w:sz w:val="21"/>
                <w:szCs w:val="21"/>
                <w:lang w:val="en-US" w:eastAsia="zh-CN" w:bidi="ar"/>
              </w:rPr>
              <w:t>3</w:t>
            </w:r>
            <w:r>
              <w:rPr>
                <w:rFonts w:hint="default" w:ascii="Times New Roman" w:hAnsi="Times New Roman" w:eastAsia="宋体" w:cs="Times New Roman"/>
                <w:sz w:val="21"/>
                <w:szCs w:val="21"/>
                <w:lang w:bidi="ar"/>
              </w:rPr>
              <w:t xml:space="preserve"> 当绿化分隔带规划种植乔木时，生物滞留设施位置应避开乔木。</w:t>
            </w:r>
          </w:p>
          <w:p w14:paraId="512C7C19">
            <w:pPr>
              <w:pStyle w:val="20"/>
              <w:tabs>
                <w:tab w:val="left" w:pos="0"/>
              </w:tabs>
              <w:ind w:firstLine="0" w:firstLineChars="0"/>
              <w:rPr>
                <w:rFonts w:hint="eastAsia" w:cs="宋体"/>
                <w:b/>
                <w:bCs/>
                <w:i/>
                <w:iCs/>
                <w:sz w:val="21"/>
                <w:szCs w:val="21"/>
                <w:lang w:bidi="ar"/>
              </w:rPr>
            </w:pPr>
            <w:r>
              <w:rPr>
                <w:rFonts w:hint="eastAsia" w:cs="宋体"/>
                <w:b/>
                <w:bCs/>
                <w:i/>
                <w:iCs/>
                <w:sz w:val="21"/>
                <w:szCs w:val="21"/>
                <w:lang w:bidi="ar"/>
              </w:rPr>
              <w:t>审查说明：机非分隔带内设置生物滞留设施时应与其他设施设备、管线、乔木等做好统筹，并与整体景观协调。机非绿化分隔带宽度不超过1.5m时空间过于狭小，不</w:t>
            </w:r>
            <w:r>
              <w:rPr>
                <w:rFonts w:hint="eastAsia" w:cs="宋体"/>
                <w:b/>
                <w:bCs/>
                <w:i/>
                <w:iCs/>
                <w:sz w:val="21"/>
                <w:szCs w:val="21"/>
                <w:lang w:val="en-US" w:eastAsia="zh-CN" w:bidi="ar"/>
              </w:rPr>
              <w:t>适合</w:t>
            </w:r>
            <w:r>
              <w:rPr>
                <w:rFonts w:hint="eastAsia" w:cs="宋体"/>
                <w:b/>
                <w:bCs/>
                <w:i/>
                <w:iCs/>
                <w:sz w:val="21"/>
                <w:szCs w:val="21"/>
                <w:lang w:bidi="ar"/>
              </w:rPr>
              <w:t>布置生物滞留设施。《关于进一步加强本市建设工程海绵城市施工图设计审查和竣工验收管理的有关通知》（沪建综规〔2023〕374号）将道路红线范围内绿化侧分带不超过1.5</w:t>
            </w:r>
            <w:r>
              <w:rPr>
                <w:rFonts w:hint="eastAsia" w:cs="宋体"/>
                <w:b/>
                <w:bCs/>
                <w:i/>
                <w:iCs/>
                <w:sz w:val="21"/>
                <w:szCs w:val="21"/>
                <w:lang w:val="en-US" w:eastAsia="zh-CN" w:bidi="ar"/>
              </w:rPr>
              <w:t>m</w:t>
            </w:r>
            <w:r>
              <w:rPr>
                <w:rFonts w:hint="eastAsia" w:cs="宋体"/>
                <w:b/>
                <w:bCs/>
                <w:i/>
                <w:iCs/>
                <w:sz w:val="21"/>
                <w:szCs w:val="21"/>
                <w:lang w:bidi="ar"/>
              </w:rPr>
              <w:t>且道路红线外无公共绿地的市政建设工程纳入了豁免清单。同时，结合项目实际实施效果，设置生物滞留设施的机非绿化分隔带宽度宜大于2.0m。</w:t>
            </w:r>
          </w:p>
          <w:p w14:paraId="03212F63">
            <w:pPr>
              <w:pStyle w:val="20"/>
              <w:tabs>
                <w:tab w:val="left" w:pos="0"/>
              </w:tabs>
              <w:ind w:firstLine="0" w:firstLineChars="0"/>
              <w:rPr>
                <w:rFonts w:hint="eastAsia" w:cs="宋体"/>
                <w:b/>
                <w:bCs/>
                <w:i/>
                <w:iCs/>
                <w:sz w:val="21"/>
                <w:szCs w:val="21"/>
                <w:lang w:bidi="ar"/>
              </w:rPr>
            </w:pPr>
          </w:p>
          <w:p w14:paraId="436C6C88">
            <w:pPr>
              <w:pStyle w:val="20"/>
              <w:tabs>
                <w:tab w:val="left" w:pos="0"/>
              </w:tabs>
              <w:ind w:firstLine="0" w:firstLineChars="0"/>
              <w:rPr>
                <w:rFonts w:hint="default" w:ascii="Times New Roman" w:hAnsi="Times New Roman" w:eastAsia="宋体" w:cs="Times New Roman"/>
                <w:b w:val="0"/>
                <w:bCs w:val="0"/>
                <w:i w:val="0"/>
                <w:iCs w:val="0"/>
                <w:sz w:val="21"/>
                <w:szCs w:val="21"/>
                <w:lang w:bidi="ar"/>
              </w:rPr>
            </w:pPr>
            <w:r>
              <w:rPr>
                <w:rFonts w:hint="default" w:ascii="Times New Roman" w:hAnsi="Times New Roman" w:eastAsia="宋体" w:cs="Times New Roman"/>
                <w:sz w:val="21"/>
                <w:szCs w:val="21"/>
                <w:lang w:bidi="ar"/>
              </w:rPr>
              <w:t>6.4.14 透水铺装按照面层材料可分为透水沥青路面、透水水泥混凝土路面和透水砖路面，其设计应符合下列规定：</w:t>
            </w:r>
          </w:p>
          <w:p w14:paraId="5A3C7D58">
            <w:pPr>
              <w:pStyle w:val="20"/>
              <w:tabs>
                <w:tab w:val="left" w:pos="420"/>
              </w:tabs>
              <w:ind w:firstLine="42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 应满足荷载、透水、防滑等使用功能和耐久性要求。</w:t>
            </w:r>
          </w:p>
          <w:p w14:paraId="732E42F5">
            <w:pPr>
              <w:pStyle w:val="20"/>
              <w:tabs>
                <w:tab w:val="left" w:pos="420"/>
              </w:tabs>
              <w:ind w:firstLine="42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 透水铺装结构层应由透水面层、基层、垫层组成，包括封层、找平层与反滤隔离层等功能层。</w:t>
            </w:r>
          </w:p>
          <w:p w14:paraId="7CC09A45">
            <w:pPr>
              <w:pStyle w:val="20"/>
              <w:tabs>
                <w:tab w:val="left" w:pos="0"/>
              </w:tabs>
              <w:ind w:firstLine="0" w:firstLineChars="0"/>
              <w:rPr>
                <w:rFonts w:hint="eastAsia" w:cs="宋体"/>
                <w:b/>
                <w:bCs/>
                <w:i/>
                <w:iCs/>
                <w:sz w:val="21"/>
                <w:szCs w:val="21"/>
                <w:lang w:bidi="ar"/>
              </w:rPr>
            </w:pPr>
            <w:r>
              <w:rPr>
                <w:rFonts w:hint="eastAsia" w:cs="宋体"/>
                <w:b/>
                <w:bCs/>
                <w:i/>
                <w:iCs/>
                <w:sz w:val="21"/>
                <w:szCs w:val="21"/>
                <w:lang w:bidi="ar"/>
              </w:rPr>
              <w:t>审查说明：透水铺装结构和材料技术要求应符合现行行业标准《透水砖路面技术规程》</w:t>
            </w:r>
            <w:r>
              <w:rPr>
                <w:rFonts w:cs="宋体"/>
                <w:b/>
                <w:bCs/>
                <w:i/>
                <w:iCs/>
                <w:sz w:val="21"/>
                <w:szCs w:val="21"/>
                <w:lang w:bidi="ar"/>
              </w:rPr>
              <w:t>CJJ/T188</w:t>
            </w:r>
            <w:r>
              <w:rPr>
                <w:rFonts w:hint="eastAsia" w:cs="宋体"/>
                <w:b/>
                <w:bCs/>
                <w:i/>
                <w:iCs/>
                <w:sz w:val="21"/>
                <w:szCs w:val="21"/>
                <w:lang w:bidi="ar"/>
              </w:rPr>
              <w:t>-2012、《透水沥青路面技术规程》</w:t>
            </w:r>
            <w:r>
              <w:rPr>
                <w:rFonts w:cs="宋体"/>
                <w:b/>
                <w:bCs/>
                <w:i/>
                <w:iCs/>
                <w:sz w:val="21"/>
                <w:szCs w:val="21"/>
                <w:lang w:bidi="ar"/>
              </w:rPr>
              <w:t>CJJ/T</w:t>
            </w:r>
            <w:r>
              <w:rPr>
                <w:rFonts w:hint="eastAsia" w:cs="宋体"/>
                <w:b/>
                <w:bCs/>
                <w:i/>
                <w:iCs/>
                <w:sz w:val="21"/>
                <w:szCs w:val="21"/>
                <w:lang w:bidi="ar"/>
              </w:rPr>
              <w:t xml:space="preserve"> </w:t>
            </w:r>
            <w:r>
              <w:rPr>
                <w:rFonts w:cs="宋体"/>
                <w:b/>
                <w:bCs/>
                <w:i/>
                <w:iCs/>
                <w:sz w:val="21"/>
                <w:szCs w:val="21"/>
                <w:lang w:bidi="ar"/>
              </w:rPr>
              <w:t>190</w:t>
            </w:r>
            <w:r>
              <w:rPr>
                <w:rFonts w:hint="eastAsia" w:cs="宋体"/>
                <w:b/>
                <w:bCs/>
                <w:i/>
                <w:iCs/>
                <w:sz w:val="21"/>
                <w:szCs w:val="21"/>
                <w:lang w:bidi="ar"/>
              </w:rPr>
              <w:t>-2012、《透水水泥混凝土路面技术规程》</w:t>
            </w:r>
            <w:r>
              <w:rPr>
                <w:rFonts w:cs="宋体"/>
                <w:b/>
                <w:bCs/>
                <w:i/>
                <w:iCs/>
                <w:sz w:val="21"/>
                <w:szCs w:val="21"/>
                <w:lang w:bidi="ar"/>
              </w:rPr>
              <w:t>CJJ/T</w:t>
            </w:r>
            <w:r>
              <w:rPr>
                <w:rFonts w:hint="eastAsia" w:cs="宋体"/>
                <w:b/>
                <w:bCs/>
                <w:i/>
                <w:iCs/>
                <w:sz w:val="21"/>
                <w:szCs w:val="21"/>
                <w:lang w:bidi="ar"/>
              </w:rPr>
              <w:t xml:space="preserve"> </w:t>
            </w:r>
            <w:r>
              <w:rPr>
                <w:rFonts w:cs="宋体"/>
                <w:b/>
                <w:bCs/>
                <w:i/>
                <w:iCs/>
                <w:sz w:val="21"/>
                <w:szCs w:val="21"/>
                <w:lang w:bidi="ar"/>
              </w:rPr>
              <w:t>135</w:t>
            </w:r>
            <w:r>
              <w:rPr>
                <w:rFonts w:hint="eastAsia" w:cs="宋体"/>
                <w:b/>
                <w:bCs/>
                <w:i/>
                <w:iCs/>
                <w:sz w:val="21"/>
                <w:szCs w:val="21"/>
                <w:lang w:bidi="ar"/>
              </w:rPr>
              <w:t>-2009和现行上海市工程建设规范《道路排水性沥青路面技术规程》DG/TJ08-2074-2016</w:t>
            </w:r>
            <w:r>
              <w:rPr>
                <w:rFonts w:hint="eastAsia" w:cs="宋体"/>
                <w:b/>
                <w:bCs/>
                <w:i/>
                <w:iCs/>
                <w:sz w:val="21"/>
                <w:szCs w:val="21"/>
                <w:lang w:eastAsia="zh-CN" w:bidi="ar"/>
              </w:rPr>
              <w:t>、</w:t>
            </w:r>
            <w:r>
              <w:rPr>
                <w:rFonts w:hint="eastAsia" w:cs="宋体"/>
                <w:b/>
                <w:bCs/>
                <w:i/>
                <w:iCs/>
                <w:sz w:val="21"/>
                <w:szCs w:val="21"/>
                <w:lang w:bidi="ar"/>
              </w:rPr>
              <w:t>《透水人行道技术规程》</w:t>
            </w:r>
            <w:r>
              <w:rPr>
                <w:rFonts w:cs="宋体"/>
                <w:b/>
                <w:bCs/>
                <w:i/>
                <w:iCs/>
                <w:sz w:val="21"/>
                <w:szCs w:val="21"/>
                <w:lang w:bidi="ar"/>
              </w:rPr>
              <w:t>DG/TJ 08-2241-2017</w:t>
            </w:r>
            <w:r>
              <w:rPr>
                <w:rFonts w:hint="eastAsia" w:cs="宋体"/>
                <w:b/>
                <w:bCs/>
                <w:i/>
                <w:iCs/>
                <w:sz w:val="21"/>
                <w:szCs w:val="21"/>
                <w:lang w:bidi="ar"/>
              </w:rPr>
              <w:t>的相关规定。透水铺装设计应明确荷载、防滑、透水性和耐久性等方面要求。根据《透水砖路面技术规程》CJJ/T188-2012，透水砖路面的合理使用年限宜为8年~10年。透水铺装按照面层材料可分为透水沥青路面、透水水泥混凝土路面和透水砖路面，透水沥青路面分为表层排水式、半透式与全透式；透水水泥混凝土路面、透水砖路面可分为半透式与全透式。城市高架道路宜选用表层排水式；人行道、非机动车道、停车场和广场宜选用半透式。透水铺装的选择和做法需要充分考虑车行荷载。</w:t>
            </w:r>
          </w:p>
          <w:p w14:paraId="6564D699">
            <w:pPr>
              <w:pStyle w:val="20"/>
              <w:tabs>
                <w:tab w:val="left" w:pos="0"/>
              </w:tabs>
              <w:ind w:firstLine="0" w:firstLineChars="0"/>
              <w:rPr>
                <w:rFonts w:hint="eastAsia" w:cs="宋体"/>
                <w:b/>
                <w:bCs/>
                <w:i/>
                <w:iCs/>
                <w:sz w:val="21"/>
                <w:szCs w:val="21"/>
                <w:lang w:bidi="ar"/>
              </w:rPr>
            </w:pPr>
          </w:p>
          <w:p w14:paraId="20DEC68A">
            <w:pPr>
              <w:pStyle w:val="20"/>
              <w:tabs>
                <w:tab w:val="left" w:pos="0"/>
              </w:tabs>
              <w:ind w:firstLine="0" w:firstLineChars="0"/>
              <w:rPr>
                <w:rFonts w:hint="default" w:ascii="Times New Roman" w:hAnsi="Times New Roman" w:eastAsia="宋体" w:cs="Times New Roman"/>
                <w:b w:val="0"/>
                <w:bCs w:val="0"/>
                <w:i w:val="0"/>
                <w:iCs w:val="0"/>
                <w:sz w:val="21"/>
                <w:szCs w:val="21"/>
                <w:lang w:bidi="ar"/>
              </w:rPr>
            </w:pPr>
            <w:r>
              <w:rPr>
                <w:rFonts w:hint="default" w:ascii="Times New Roman" w:hAnsi="Times New Roman" w:eastAsia="宋体" w:cs="Times New Roman"/>
                <w:sz w:val="21"/>
                <w:szCs w:val="21"/>
                <w:lang w:bidi="ar"/>
              </w:rPr>
              <w:t>6.4.15 市政道路的透水铺装设计应符合下列规定：</w:t>
            </w:r>
          </w:p>
          <w:p w14:paraId="4A7580D8">
            <w:pPr>
              <w:pStyle w:val="20"/>
              <w:tabs>
                <w:tab w:val="left" w:pos="420"/>
              </w:tabs>
              <w:ind w:firstLine="42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 表层排水式和半透式路面应设置路面边缘排水系统，其透水结构层下部应设置封层，封层材料的渗水系数不应大于5mL/min，且应与上下结构层粘结良好。</w:t>
            </w:r>
          </w:p>
          <w:p w14:paraId="183405F3">
            <w:pPr>
              <w:pStyle w:val="20"/>
              <w:tabs>
                <w:tab w:val="left" w:pos="0"/>
              </w:tabs>
              <w:ind w:firstLine="0" w:firstLineChars="0"/>
              <w:rPr>
                <w:rFonts w:hint="eastAsia" w:cs="宋体"/>
                <w:sz w:val="21"/>
                <w:szCs w:val="21"/>
                <w:lang w:bidi="ar"/>
              </w:rPr>
            </w:pPr>
          </w:p>
          <w:p w14:paraId="72B298D6">
            <w:pPr>
              <w:pStyle w:val="20"/>
              <w:tabs>
                <w:tab w:val="left" w:pos="0"/>
              </w:tabs>
              <w:ind w:firstLine="0" w:firstLineChars="0"/>
              <w:rPr>
                <w:rFonts w:cs="Times New Roman"/>
                <w:b/>
                <w:bCs/>
                <w:sz w:val="21"/>
                <w:szCs w:val="21"/>
              </w:rPr>
            </w:pPr>
            <w:r>
              <w:rPr>
                <w:rFonts w:hint="eastAsia" w:cs="宋体"/>
                <w:b/>
                <w:bCs/>
                <w:sz w:val="21"/>
                <w:szCs w:val="21"/>
                <w:lang w:bidi="ar"/>
              </w:rPr>
              <w:t>《透水砖路面技术规程》CJJ/T188-2012</w:t>
            </w:r>
          </w:p>
          <w:p w14:paraId="489E2D9F">
            <w:pPr>
              <w:pStyle w:val="20"/>
              <w:tabs>
                <w:tab w:val="left" w:pos="0"/>
              </w:tabs>
              <w:ind w:firstLine="0" w:firstLineChars="0"/>
              <w:rPr>
                <w:rFonts w:cs="Times New Roman"/>
                <w:sz w:val="21"/>
                <w:szCs w:val="21"/>
              </w:rPr>
            </w:pPr>
            <w:r>
              <w:rPr>
                <w:rFonts w:cs="Times New Roman"/>
                <w:sz w:val="21"/>
                <w:szCs w:val="21"/>
                <w:lang w:bidi="ar"/>
              </w:rPr>
              <w:t xml:space="preserve">4.1.1 </w:t>
            </w:r>
            <w:r>
              <w:rPr>
                <w:rFonts w:hint="eastAsia" w:cs="宋体"/>
                <w:sz w:val="21"/>
                <w:szCs w:val="21"/>
                <w:lang w:bidi="ar"/>
              </w:rPr>
              <w:t>透水砖的透水系数不应≤</w:t>
            </w:r>
            <w:r>
              <w:rPr>
                <w:rFonts w:cs="Times New Roman"/>
                <w:sz w:val="21"/>
                <w:szCs w:val="21"/>
                <w:lang w:bidi="ar"/>
              </w:rPr>
              <w:t>1.0</w:t>
            </w:r>
            <m:oMath>
              <m:r>
                <m:rPr/>
                <w:rPr>
                  <w:rFonts w:ascii="Cambria Math" w:hAnsi="Cambria Math" w:cs="Times New Roman"/>
                  <w:sz w:val="21"/>
                  <w:szCs w:val="21"/>
                  <w:lang w:bidi="ar"/>
                </w:rPr>
                <m:t>×</m:t>
              </m:r>
            </m:oMath>
            <w:r>
              <w:rPr>
                <w:rFonts w:cs="Times New Roman"/>
                <w:sz w:val="21"/>
                <w:szCs w:val="21"/>
                <w:lang w:bidi="ar"/>
              </w:rPr>
              <w:t>10</w:t>
            </w:r>
            <w:r>
              <w:rPr>
                <w:rFonts w:cs="Times New Roman"/>
                <w:sz w:val="22"/>
                <w:szCs w:val="22"/>
                <w:vertAlign w:val="superscript"/>
                <w:lang w:bidi="ar"/>
              </w:rPr>
              <w:t>-2</w:t>
            </w:r>
            <w:r>
              <w:rPr>
                <w:rFonts w:cs="Times New Roman"/>
                <w:sz w:val="21"/>
                <w:szCs w:val="21"/>
                <w:lang w:bidi="ar"/>
              </w:rPr>
              <w:t>cm/s</w:t>
            </w:r>
            <w:r>
              <w:rPr>
                <w:rFonts w:hint="eastAsia" w:cs="宋体"/>
                <w:sz w:val="21"/>
                <w:szCs w:val="21"/>
                <w:lang w:bidi="ar"/>
              </w:rPr>
              <w:t>。</w:t>
            </w:r>
          </w:p>
          <w:p w14:paraId="77490B8B">
            <w:pPr>
              <w:pStyle w:val="20"/>
              <w:tabs>
                <w:tab w:val="left" w:pos="0"/>
              </w:tabs>
              <w:ind w:firstLine="0" w:firstLineChars="0"/>
              <w:rPr>
                <w:rFonts w:hint="eastAsia" w:cs="宋体"/>
                <w:sz w:val="21"/>
                <w:szCs w:val="21"/>
                <w:lang w:bidi="ar"/>
              </w:rPr>
            </w:pPr>
            <w:r>
              <w:rPr>
                <w:rFonts w:cs="Times New Roman"/>
                <w:sz w:val="21"/>
                <w:szCs w:val="21"/>
                <w:lang w:bidi="ar"/>
              </w:rPr>
              <w:t xml:space="preserve">5.7.1 </w:t>
            </w:r>
            <w:r>
              <w:rPr>
                <w:rFonts w:hint="eastAsia" w:cs="宋体"/>
                <w:sz w:val="21"/>
                <w:szCs w:val="21"/>
                <w:lang w:bidi="ar"/>
              </w:rPr>
              <w:t>当土基、土壤透水系数及地下水位等条件不满足本规程第</w:t>
            </w:r>
            <w:r>
              <w:rPr>
                <w:rFonts w:cs="Times New Roman"/>
                <w:sz w:val="21"/>
                <w:szCs w:val="21"/>
                <w:lang w:bidi="ar"/>
              </w:rPr>
              <w:t>3.0.5</w:t>
            </w:r>
            <w:r>
              <w:rPr>
                <w:rFonts w:hint="eastAsia" w:cs="宋体"/>
                <w:sz w:val="21"/>
                <w:szCs w:val="21"/>
                <w:lang w:bidi="ar"/>
              </w:rPr>
              <w:t>条的规定及降雨强度超过渗透量及单位储存量时，应增加透水砖路面的排水设计内容。</w:t>
            </w:r>
          </w:p>
          <w:p w14:paraId="1E123732">
            <w:pPr>
              <w:pStyle w:val="20"/>
              <w:tabs>
                <w:tab w:val="left" w:pos="0"/>
              </w:tabs>
              <w:ind w:firstLine="0" w:firstLineChars="0"/>
              <w:rPr>
                <w:rFonts w:hint="eastAsia" w:cs="宋体"/>
                <w:sz w:val="21"/>
                <w:szCs w:val="21"/>
                <w:lang w:bidi="ar"/>
              </w:rPr>
            </w:pPr>
          </w:p>
          <w:p w14:paraId="5B2C145B">
            <w:pPr>
              <w:pStyle w:val="20"/>
              <w:tabs>
                <w:tab w:val="left" w:pos="0"/>
              </w:tabs>
              <w:ind w:firstLine="0" w:firstLineChars="0"/>
              <w:rPr>
                <w:rFonts w:hint="eastAsia" w:cs="宋体"/>
                <w:b/>
                <w:bCs/>
                <w:sz w:val="21"/>
                <w:szCs w:val="21"/>
                <w:lang w:bidi="ar"/>
              </w:rPr>
            </w:pPr>
            <w:r>
              <w:rPr>
                <w:rFonts w:hint="eastAsia" w:cs="宋体"/>
                <w:b/>
                <w:bCs/>
                <w:sz w:val="21"/>
                <w:szCs w:val="21"/>
                <w:lang w:bidi="ar"/>
              </w:rPr>
              <w:t>《透水沥青路面技术规程》CJJ/T 190-2012</w:t>
            </w:r>
          </w:p>
          <w:p w14:paraId="57AB70A5">
            <w:pPr>
              <w:pStyle w:val="20"/>
              <w:tabs>
                <w:tab w:val="left" w:pos="0"/>
              </w:tabs>
              <w:ind w:firstLine="0" w:firstLineChars="0"/>
              <w:rPr>
                <w:rFonts w:hint="eastAsia" w:cs="宋体"/>
                <w:b w:val="0"/>
                <w:bCs w:val="0"/>
                <w:sz w:val="21"/>
                <w:szCs w:val="21"/>
                <w:lang w:bidi="ar"/>
              </w:rPr>
            </w:pPr>
            <w:r>
              <w:rPr>
                <w:rFonts w:hint="eastAsia" w:cs="宋体"/>
                <w:b w:val="0"/>
                <w:bCs w:val="0"/>
                <w:sz w:val="21"/>
                <w:szCs w:val="21"/>
                <w:lang w:bidi="ar"/>
              </w:rPr>
              <w:t>4.7.1 透水沥青路面边缘应设置纵向排水设置，排水能力应满足路面排水要求。</w:t>
            </w:r>
          </w:p>
          <w:p w14:paraId="68D72E74">
            <w:pPr>
              <w:pStyle w:val="20"/>
              <w:ind w:firstLine="0" w:firstLineChars="0"/>
              <w:rPr>
                <w:rFonts w:hint="eastAsia" w:ascii="Times New Roman" w:hAnsi="Times New Roman" w:eastAsia="宋体" w:cs="宋体"/>
                <w:b/>
                <w:bCs/>
                <w:i/>
                <w:iCs/>
                <w:sz w:val="21"/>
                <w:szCs w:val="21"/>
                <w:lang w:bidi="ar"/>
              </w:rPr>
            </w:pPr>
            <w:r>
              <w:rPr>
                <w:rFonts w:hint="eastAsia" w:ascii="Times New Roman" w:hAnsi="Times New Roman" w:eastAsia="宋体" w:cs="宋体"/>
                <w:b/>
                <w:bCs/>
                <w:i/>
                <w:iCs/>
                <w:sz w:val="21"/>
                <w:szCs w:val="21"/>
                <w:lang w:bidi="ar"/>
              </w:rPr>
              <w:t>审查说明：当不满足透水铺装土基层透水系数不应小于1.0×10-3mm/s，且土基顶面距离地下水位宜大于1.0m要求时，透水砖应增加排水设计内容，排水能力应满足路面排水要求。</w:t>
            </w:r>
          </w:p>
          <w:p w14:paraId="5C3319E5">
            <w:pPr>
              <w:pStyle w:val="20"/>
              <w:ind w:firstLine="0" w:firstLineChars="0"/>
              <w:rPr>
                <w:rFonts w:cs="Times New Roman" w:eastAsiaTheme="minorEastAsia"/>
                <w:b/>
                <w:bCs/>
                <w:i/>
                <w:iCs/>
                <w:kern w:val="0"/>
                <w:szCs w:val="21"/>
              </w:rPr>
            </w:pPr>
            <w:r>
              <w:rPr>
                <w:rFonts w:hint="eastAsia" w:ascii="Times New Roman" w:hAnsi="Times New Roman" w:eastAsia="宋体" w:cs="宋体"/>
                <w:b/>
                <w:bCs/>
                <w:i/>
                <w:iCs/>
                <w:sz w:val="21"/>
                <w:szCs w:val="21"/>
                <w:lang w:bidi="ar"/>
              </w:rPr>
              <w:t>上海常用的透水沥青路面有表层排水式和半透式，分别对应现行行业标准《透水沥青路面技术规程》CJJ/T 190-2012中的透水沥青路面Ⅰ型和Ⅱ型，可以根据道路功能区域、交通荷载等情况选择使用。</w:t>
            </w:r>
          </w:p>
        </w:tc>
      </w:tr>
      <w:tr w14:paraId="652C2C4C">
        <w:tblPrEx>
          <w:tblBorders>
            <w:top w:val="single" w:color="auto" w:sz="8" w:space="0"/>
            <w:left w:val="none" w:color="auto" w:sz="6" w:space="0"/>
            <w:bottom w:val="single" w:color="auto" w:sz="8"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386" w:type="pct"/>
            <w:tcBorders>
              <w:top w:val="single" w:color="auto" w:sz="4" w:space="0"/>
              <w:left w:val="nil"/>
              <w:bottom w:val="single" w:color="auto" w:sz="8" w:space="0"/>
              <w:right w:val="single" w:color="auto" w:sz="4" w:space="0"/>
            </w:tcBorders>
            <w:vAlign w:val="center"/>
          </w:tcPr>
          <w:p w14:paraId="08AD577C">
            <w:pPr>
              <w:widowControl/>
              <w:numPr>
                <w:ilvl w:val="-1"/>
                <w:numId w:val="0"/>
              </w:numPr>
              <w:tabs>
                <w:tab w:val="left" w:pos="0"/>
              </w:tabs>
              <w:ind w:firstLine="0" w:firstLineChars="0"/>
              <w:jc w:val="center"/>
              <w:rPr>
                <w:rFonts w:hint="eastAsia" w:eastAsia="黑体" w:cs="Times New Roman"/>
                <w:bCs/>
                <w:kern w:val="0"/>
                <w:szCs w:val="21"/>
                <w:lang w:val="en-US" w:eastAsia="zh-CN"/>
              </w:rPr>
            </w:pPr>
            <w:r>
              <w:rPr>
                <w:rFonts w:hint="eastAsia" w:eastAsia="黑体" w:cs="Times New Roman"/>
                <w:bCs/>
                <w:kern w:val="0"/>
                <w:szCs w:val="21"/>
                <w:lang w:val="en-US" w:eastAsia="zh-CN"/>
              </w:rPr>
              <w:t>3</w:t>
            </w:r>
          </w:p>
        </w:tc>
        <w:tc>
          <w:tcPr>
            <w:tcW w:w="650" w:type="pct"/>
            <w:tcBorders>
              <w:top w:val="single" w:color="auto" w:sz="4" w:space="0"/>
              <w:left w:val="single" w:color="auto" w:sz="4" w:space="0"/>
              <w:bottom w:val="single" w:color="auto" w:sz="8" w:space="0"/>
              <w:right w:val="single" w:color="auto" w:sz="4" w:space="0"/>
            </w:tcBorders>
            <w:vAlign w:val="center"/>
          </w:tcPr>
          <w:p w14:paraId="7D01D2F6">
            <w:pPr>
              <w:ind w:firstLine="0" w:firstLineChars="0"/>
              <w:jc w:val="center"/>
              <w:rPr>
                <w:rFonts w:cs="宋体"/>
                <w:bCs/>
                <w:color w:val="FF0000"/>
                <w:kern w:val="0"/>
                <w:szCs w:val="21"/>
                <w:lang w:bidi="ar"/>
              </w:rPr>
            </w:pPr>
            <w:r>
              <w:rPr>
                <w:rFonts w:hint="eastAsia" w:cs="宋体"/>
                <w:bCs/>
                <w:kern w:val="0"/>
                <w:szCs w:val="21"/>
                <w:lang w:bidi="ar"/>
              </w:rPr>
              <w:t>人行道</w:t>
            </w:r>
          </w:p>
        </w:tc>
        <w:tc>
          <w:tcPr>
            <w:tcW w:w="3963" w:type="pct"/>
            <w:tcBorders>
              <w:top w:val="single" w:color="auto" w:sz="4" w:space="0"/>
              <w:left w:val="single" w:color="auto" w:sz="4" w:space="0"/>
              <w:bottom w:val="single" w:color="auto" w:sz="8" w:space="0"/>
              <w:right w:val="nil"/>
            </w:tcBorders>
            <w:vAlign w:val="center"/>
          </w:tcPr>
          <w:p w14:paraId="4A0719EF">
            <w:pPr>
              <w:pStyle w:val="35"/>
              <w:tabs>
                <w:tab w:val="left" w:pos="420"/>
              </w:tabs>
              <w:rPr>
                <w:rFonts w:cs="Times New Roman"/>
                <w:b/>
                <w:bCs/>
                <w:szCs w:val="21"/>
              </w:rPr>
            </w:pPr>
            <w:bookmarkStart w:id="90" w:name="OLE_LINK10"/>
            <w:r>
              <w:rPr>
                <w:rFonts w:hint="eastAsia" w:cs="Times New Roman"/>
                <w:b/>
                <w:bCs/>
                <w:szCs w:val="21"/>
              </w:rPr>
              <w:t>《</w:t>
            </w:r>
            <w:bookmarkStart w:id="91" w:name="OLE_LINK9"/>
            <w:r>
              <w:rPr>
                <w:rFonts w:hint="eastAsia" w:cs="Times New Roman"/>
                <w:b/>
                <w:bCs/>
                <w:szCs w:val="21"/>
              </w:rPr>
              <w:t>城市道路设计标准</w:t>
            </w:r>
            <w:bookmarkEnd w:id="91"/>
            <w:r>
              <w:rPr>
                <w:rFonts w:hint="eastAsia" w:cs="Times New Roman"/>
                <w:b/>
                <w:bCs/>
                <w:szCs w:val="21"/>
              </w:rPr>
              <w:t>》</w:t>
            </w:r>
            <w:r>
              <w:rPr>
                <w:rFonts w:cs="Times New Roman"/>
                <w:b/>
                <w:bCs/>
                <w:szCs w:val="21"/>
              </w:rPr>
              <w:t>DG/TJ08-2</w:t>
            </w:r>
            <w:r>
              <w:rPr>
                <w:rFonts w:hint="eastAsia" w:cs="Times New Roman"/>
                <w:b/>
                <w:bCs/>
                <w:szCs w:val="21"/>
              </w:rPr>
              <w:t>10</w:t>
            </w:r>
            <w:r>
              <w:rPr>
                <w:rFonts w:cs="Times New Roman"/>
                <w:b/>
                <w:bCs/>
                <w:szCs w:val="21"/>
              </w:rPr>
              <w:t>6-2025</w:t>
            </w:r>
            <w:bookmarkEnd w:id="90"/>
          </w:p>
          <w:p w14:paraId="0D7AB554">
            <w:pPr>
              <w:pStyle w:val="20"/>
              <w:tabs>
                <w:tab w:val="left" w:pos="0"/>
              </w:tabs>
              <w:ind w:firstLine="0" w:firstLineChars="0"/>
              <w:rPr>
                <w:rFonts w:cs="Times New Roman"/>
                <w:kern w:val="0"/>
                <w:sz w:val="21"/>
                <w:szCs w:val="21"/>
                <w:lang w:bidi="ar"/>
              </w:rPr>
            </w:pPr>
            <w:r>
              <w:rPr>
                <w:rFonts w:cs="Times New Roman"/>
                <w:kern w:val="0"/>
                <w:sz w:val="21"/>
                <w:szCs w:val="21"/>
                <w:lang w:bidi="ar"/>
              </w:rPr>
              <w:t>9.3.9</w:t>
            </w:r>
            <w:r>
              <w:rPr>
                <w:rFonts w:hint="eastAsia" w:cs="Times New Roman"/>
                <w:kern w:val="0"/>
                <w:sz w:val="21"/>
                <w:szCs w:val="21"/>
                <w:lang w:val="en-US" w:eastAsia="zh-CN" w:bidi="ar"/>
              </w:rPr>
              <w:t xml:space="preserve"> </w:t>
            </w:r>
            <w:r>
              <w:rPr>
                <w:rFonts w:hint="eastAsia" w:cs="Times New Roman"/>
                <w:kern w:val="0"/>
                <w:sz w:val="21"/>
                <w:szCs w:val="21"/>
                <w:lang w:bidi="ar"/>
              </w:rPr>
              <w:t>人行道的海绵城市设计应符合下列规定：</w:t>
            </w:r>
          </w:p>
          <w:p w14:paraId="378B0047">
            <w:pPr>
              <w:pStyle w:val="20"/>
              <w:tabs>
                <w:tab w:val="left" w:pos="420"/>
              </w:tabs>
              <w:ind w:firstLine="420"/>
              <w:rPr>
                <w:rFonts w:ascii="Times New Roman" w:hAnsi="Times New Roman" w:eastAsia="宋体" w:cs="Times New Roman"/>
                <w:kern w:val="2"/>
                <w:sz w:val="21"/>
                <w:szCs w:val="21"/>
                <w:lang w:bidi="ar"/>
              </w:rPr>
            </w:pPr>
            <w:r>
              <w:rPr>
                <w:rFonts w:ascii="Times New Roman" w:hAnsi="Times New Roman" w:eastAsia="宋体" w:cs="Times New Roman"/>
                <w:kern w:val="2"/>
                <w:sz w:val="21"/>
                <w:szCs w:val="21"/>
                <w:lang w:bidi="ar"/>
              </w:rPr>
              <w:t xml:space="preserve">1 </w:t>
            </w:r>
            <w:r>
              <w:rPr>
                <w:rFonts w:hint="default" w:ascii="Times New Roman" w:hAnsi="Times New Roman" w:eastAsia="宋体" w:cs="Times New Roman"/>
                <w:kern w:val="2"/>
                <w:sz w:val="21"/>
                <w:szCs w:val="21"/>
                <w:lang w:bidi="ar"/>
              </w:rPr>
              <w:t>人行道设置的树池，宜采用生态树池，应将独立的树池连接形成一个连续的海绵体。</w:t>
            </w:r>
          </w:p>
          <w:p w14:paraId="6A967670">
            <w:pPr>
              <w:pStyle w:val="20"/>
              <w:tabs>
                <w:tab w:val="left" w:pos="420"/>
              </w:tabs>
              <w:ind w:firstLine="420"/>
              <w:rPr>
                <w:rFonts w:ascii="Times New Roman" w:hAnsi="Times New Roman" w:eastAsia="宋体" w:cs="Times New Roman"/>
                <w:kern w:val="2"/>
                <w:sz w:val="21"/>
                <w:szCs w:val="21"/>
                <w:lang w:bidi="ar"/>
              </w:rPr>
            </w:pPr>
            <w:r>
              <w:rPr>
                <w:rFonts w:ascii="Times New Roman" w:hAnsi="Times New Roman" w:eastAsia="宋体" w:cs="Times New Roman"/>
                <w:kern w:val="2"/>
                <w:sz w:val="21"/>
                <w:szCs w:val="21"/>
                <w:lang w:bidi="ar"/>
              </w:rPr>
              <w:t xml:space="preserve">2 </w:t>
            </w:r>
            <w:r>
              <w:rPr>
                <w:rFonts w:hint="default" w:ascii="Times New Roman" w:hAnsi="Times New Roman" w:eastAsia="宋体" w:cs="Times New Roman"/>
                <w:kern w:val="2"/>
                <w:sz w:val="21"/>
                <w:szCs w:val="21"/>
                <w:lang w:bidi="ar"/>
              </w:rPr>
              <w:t>人行道与非机动车道间可设置下凹式绿化带，通过路缘石开孔，使两侧雨水汇集到绿化带中；人行道宜采用透水铺装，实现对径流总量的控制要求。雨水口可移至绿化分隔带内兼作溢流井，下渗雨水和超量径流通过溢流井流入市政雨水管渠系统。</w:t>
            </w:r>
          </w:p>
          <w:p w14:paraId="294A8DF1">
            <w:pPr>
              <w:pStyle w:val="20"/>
              <w:tabs>
                <w:tab w:val="left" w:pos="420"/>
              </w:tabs>
              <w:ind w:firstLine="420"/>
              <w:rPr>
                <w:rFonts w:ascii="Times New Roman" w:hAnsi="Times New Roman" w:eastAsia="宋体" w:cs="Times New Roman"/>
                <w:kern w:val="2"/>
                <w:sz w:val="21"/>
                <w:szCs w:val="21"/>
                <w:lang w:bidi="ar"/>
              </w:rPr>
            </w:pPr>
            <w:r>
              <w:rPr>
                <w:rFonts w:ascii="Times New Roman" w:hAnsi="Times New Roman" w:eastAsia="宋体" w:cs="Times New Roman"/>
                <w:kern w:val="2"/>
                <w:sz w:val="21"/>
                <w:szCs w:val="21"/>
                <w:lang w:bidi="ar"/>
              </w:rPr>
              <w:t xml:space="preserve">3 </w:t>
            </w:r>
            <w:r>
              <w:rPr>
                <w:rFonts w:hint="default" w:ascii="Times New Roman" w:hAnsi="Times New Roman" w:eastAsia="宋体" w:cs="Times New Roman"/>
                <w:kern w:val="2"/>
                <w:sz w:val="21"/>
                <w:szCs w:val="21"/>
                <w:lang w:bidi="ar"/>
              </w:rPr>
              <w:t>透水水泥混凝土路面、透水砖路面可分为半透式和全透式，人行道宜选用全透式，并对人行道的路基进行封闭，设置层间排水系统和边缘收水系统。</w:t>
            </w:r>
          </w:p>
          <w:p w14:paraId="2C341591">
            <w:pPr>
              <w:pStyle w:val="20"/>
              <w:tabs>
                <w:tab w:val="left" w:pos="420"/>
              </w:tabs>
              <w:ind w:firstLine="420"/>
              <w:rPr>
                <w:rFonts w:cs="宋体"/>
                <w:b/>
                <w:bCs/>
                <w:color w:val="FF0000"/>
                <w:sz w:val="21"/>
                <w:szCs w:val="21"/>
                <w:lang w:bidi="ar"/>
              </w:rPr>
            </w:pPr>
            <w:r>
              <w:rPr>
                <w:rFonts w:ascii="Times New Roman" w:hAnsi="Times New Roman" w:eastAsia="宋体" w:cs="Times New Roman"/>
                <w:kern w:val="2"/>
                <w:sz w:val="21"/>
                <w:szCs w:val="21"/>
                <w:lang w:bidi="ar"/>
              </w:rPr>
              <w:t xml:space="preserve">4 </w:t>
            </w:r>
            <w:r>
              <w:rPr>
                <w:rFonts w:hint="default" w:ascii="Times New Roman" w:hAnsi="Times New Roman" w:eastAsia="宋体" w:cs="Times New Roman"/>
                <w:kern w:val="2"/>
                <w:sz w:val="21"/>
                <w:szCs w:val="21"/>
                <w:lang w:bidi="ar"/>
              </w:rPr>
              <w:t>透水铺装结构和材料技术要求应符合现行行业标准。</w:t>
            </w:r>
          </w:p>
        </w:tc>
      </w:tr>
    </w:tbl>
    <w:p w14:paraId="6AAC4A88">
      <w:pPr>
        <w:pStyle w:val="4"/>
        <w:spacing w:before="312" w:beforeLines="100"/>
      </w:pPr>
      <w:bookmarkStart w:id="92" w:name="_Toc20251"/>
      <w:bookmarkStart w:id="93" w:name="_Toc232627973"/>
      <w:bookmarkStart w:id="94" w:name="_Toc30284"/>
      <w:bookmarkStart w:id="95" w:name="_Toc28309"/>
      <w:bookmarkStart w:id="96" w:name="_Toc97379502"/>
      <w:r>
        <w:rPr>
          <w:rFonts w:hint="eastAsia"/>
        </w:rPr>
        <w:t>给水排水专业</w:t>
      </w:r>
      <w:bookmarkEnd w:id="92"/>
      <w:bookmarkEnd w:id="93"/>
      <w:bookmarkEnd w:id="94"/>
      <w:bookmarkEnd w:id="95"/>
      <w:bookmarkEnd w:id="96"/>
    </w:p>
    <w:tbl>
      <w:tblPr>
        <w:tblStyle w:val="23"/>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103"/>
        <w:gridCol w:w="6740"/>
      </w:tblGrid>
      <w:tr w14:paraId="5D7C6AD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87" w:type="pct"/>
            <w:tcBorders>
              <w:tl2br w:val="nil"/>
              <w:tr2bl w:val="nil"/>
            </w:tcBorders>
            <w:vAlign w:val="center"/>
          </w:tcPr>
          <w:p w14:paraId="73A9D778">
            <w:pPr>
              <w:widowControl/>
              <w:ind w:firstLine="0" w:firstLineChars="0"/>
              <w:jc w:val="center"/>
              <w:rPr>
                <w:rFonts w:eastAsia="黑体"/>
                <w:bCs/>
                <w:kern w:val="0"/>
                <w:szCs w:val="21"/>
              </w:rPr>
            </w:pPr>
            <w:r>
              <w:rPr>
                <w:rFonts w:hint="eastAsia" w:cs="宋体"/>
                <w:bCs/>
                <w:kern w:val="0"/>
                <w:szCs w:val="21"/>
                <w:lang w:bidi="ar"/>
              </w:rPr>
              <w:t>序号</w:t>
            </w:r>
          </w:p>
        </w:tc>
        <w:tc>
          <w:tcPr>
            <w:tcW w:w="648" w:type="pct"/>
            <w:tcBorders>
              <w:tl2br w:val="nil"/>
              <w:tr2bl w:val="nil"/>
            </w:tcBorders>
            <w:vAlign w:val="center"/>
          </w:tcPr>
          <w:p w14:paraId="27BEBBF8">
            <w:pPr>
              <w:ind w:firstLine="0" w:firstLineChars="0"/>
              <w:jc w:val="center"/>
              <w:rPr>
                <w:rFonts w:hint="eastAsia" w:eastAsiaTheme="minorEastAsia" w:cstheme="minorEastAsia"/>
                <w:bCs/>
                <w:kern w:val="0"/>
                <w:szCs w:val="21"/>
              </w:rPr>
            </w:pPr>
            <w:r>
              <w:rPr>
                <w:rFonts w:hint="eastAsia" w:cs="宋体"/>
                <w:bCs/>
                <w:kern w:val="0"/>
                <w:szCs w:val="21"/>
                <w:lang w:bidi="ar"/>
              </w:rPr>
              <w:t>审查项目</w:t>
            </w:r>
          </w:p>
        </w:tc>
        <w:tc>
          <w:tcPr>
            <w:tcW w:w="3964" w:type="pct"/>
            <w:tcBorders>
              <w:tl2br w:val="nil"/>
              <w:tr2bl w:val="nil"/>
            </w:tcBorders>
            <w:vAlign w:val="center"/>
          </w:tcPr>
          <w:p w14:paraId="241BB5EB">
            <w:pPr>
              <w:widowControl/>
              <w:ind w:firstLine="0" w:firstLineChars="0"/>
              <w:jc w:val="center"/>
              <w:rPr>
                <w:rFonts w:hint="eastAsia" w:cs="Times New Roman"/>
                <w:b/>
                <w:bCs/>
                <w:i/>
                <w:iCs/>
                <w:szCs w:val="21"/>
              </w:rPr>
            </w:pPr>
            <w:r>
              <w:rPr>
                <w:rFonts w:hint="eastAsia" w:cs="宋体"/>
                <w:bCs/>
                <w:kern w:val="0"/>
                <w:szCs w:val="21"/>
                <w:lang w:bidi="ar"/>
              </w:rPr>
              <w:t>审查的标准及条文</w:t>
            </w:r>
          </w:p>
        </w:tc>
      </w:tr>
      <w:tr w14:paraId="21C013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7" w:type="pct"/>
            <w:tcBorders>
              <w:tl2br w:val="nil"/>
              <w:tr2bl w:val="nil"/>
            </w:tcBorders>
            <w:vAlign w:val="center"/>
          </w:tcPr>
          <w:p w14:paraId="357FFA73">
            <w:pPr>
              <w:widowControl/>
              <w:numPr>
                <w:ilvl w:val="0"/>
                <w:numId w:val="7"/>
              </w:numPr>
              <w:ind w:firstLineChars="0"/>
              <w:contextualSpacing/>
              <w:jc w:val="center"/>
              <w:rPr>
                <w:rFonts w:eastAsia="黑体"/>
                <w:bCs/>
                <w:kern w:val="0"/>
                <w:szCs w:val="21"/>
              </w:rPr>
            </w:pPr>
          </w:p>
        </w:tc>
        <w:tc>
          <w:tcPr>
            <w:tcW w:w="648" w:type="pct"/>
            <w:tcBorders>
              <w:tl2br w:val="nil"/>
              <w:tr2bl w:val="nil"/>
            </w:tcBorders>
            <w:vAlign w:val="center"/>
          </w:tcPr>
          <w:p w14:paraId="35A04677">
            <w:pPr>
              <w:ind w:firstLine="0" w:firstLineChars="0"/>
              <w:jc w:val="center"/>
              <w:rPr>
                <w:rFonts w:eastAsiaTheme="minorEastAsia" w:cstheme="minorEastAsia"/>
                <w:bCs/>
                <w:kern w:val="0"/>
                <w:szCs w:val="21"/>
              </w:rPr>
            </w:pPr>
            <w:r>
              <w:rPr>
                <w:rFonts w:hint="eastAsia" w:ascii="Times New Roman" w:hAnsi="Times New Roman" w:eastAsia="宋体" w:cs="宋体"/>
                <w:szCs w:val="21"/>
                <w:lang w:bidi="ar"/>
              </w:rPr>
              <w:t>设计与施工说明</w:t>
            </w:r>
          </w:p>
        </w:tc>
        <w:tc>
          <w:tcPr>
            <w:tcW w:w="3964" w:type="pct"/>
            <w:tcBorders>
              <w:tl2br w:val="nil"/>
              <w:tr2bl w:val="nil"/>
            </w:tcBorders>
            <w:vAlign w:val="center"/>
          </w:tcPr>
          <w:p w14:paraId="6E97882D">
            <w:pPr>
              <w:pStyle w:val="20"/>
              <w:tabs>
                <w:tab w:val="left" w:pos="420"/>
              </w:tabs>
              <w:ind w:firstLine="0" w:firstLineChars="0"/>
              <w:rPr>
                <w:rFonts w:cs="宋体"/>
                <w:b/>
                <w:bCs/>
                <w:sz w:val="21"/>
                <w:szCs w:val="21"/>
                <w:lang w:bidi="ar"/>
              </w:rPr>
            </w:pPr>
            <w:r>
              <w:rPr>
                <w:rFonts w:hint="eastAsia" w:cs="宋体"/>
                <w:b/>
                <w:bCs/>
                <w:sz w:val="21"/>
                <w:szCs w:val="21"/>
                <w:lang w:bidi="ar"/>
              </w:rPr>
              <w:t>《室外排水设计标准》</w:t>
            </w:r>
            <w:r>
              <w:rPr>
                <w:rFonts w:cs="宋体"/>
                <w:b/>
                <w:bCs/>
                <w:sz w:val="21"/>
                <w:szCs w:val="21"/>
                <w:lang w:bidi="ar"/>
              </w:rPr>
              <w:t>GB50014-2021</w:t>
            </w:r>
          </w:p>
          <w:p w14:paraId="50C27510">
            <w:pPr>
              <w:pStyle w:val="20"/>
              <w:tabs>
                <w:tab w:val="left" w:pos="0"/>
              </w:tabs>
              <w:ind w:firstLine="0" w:firstLineChars="0"/>
              <w:rPr>
                <w:rFonts w:cs="宋体"/>
                <w:sz w:val="21"/>
                <w:szCs w:val="21"/>
                <w:lang w:bidi="ar"/>
              </w:rPr>
            </w:pPr>
            <w:r>
              <w:rPr>
                <w:rFonts w:cs="Times New Roman"/>
                <w:sz w:val="21"/>
                <w:szCs w:val="21"/>
                <w:lang w:bidi="ar"/>
              </w:rPr>
              <w:t xml:space="preserve">4.1.1 </w:t>
            </w:r>
            <w:r>
              <w:rPr>
                <w:rFonts w:hint="eastAsia" w:cs="宋体"/>
                <w:sz w:val="21"/>
                <w:szCs w:val="21"/>
                <w:lang w:bidi="ar"/>
              </w:rPr>
              <w:t>源头减排设施的设计水量应根据年径流总量控制率确定，并应明确相应的设计降雨量。</w:t>
            </w:r>
          </w:p>
          <w:p w14:paraId="2FD62566">
            <w:pPr>
              <w:pStyle w:val="20"/>
              <w:tabs>
                <w:tab w:val="left" w:pos="0"/>
              </w:tabs>
              <w:ind w:firstLine="0" w:firstLineChars="0"/>
              <w:rPr>
                <w:rFonts w:cs="Times New Roman"/>
                <w:kern w:val="0"/>
                <w:sz w:val="21"/>
                <w:szCs w:val="21"/>
              </w:rPr>
            </w:pPr>
          </w:p>
          <w:p w14:paraId="79083BBA">
            <w:pPr>
              <w:pStyle w:val="35"/>
              <w:tabs>
                <w:tab w:val="left" w:pos="0"/>
              </w:tabs>
              <w:rPr>
                <w:rFonts w:hint="eastAsia"/>
                <w:b/>
                <w:bCs/>
              </w:rPr>
            </w:pPr>
            <w:r>
              <w:rPr>
                <w:rFonts w:hint="eastAsia"/>
                <w:b/>
                <w:bCs/>
              </w:rPr>
              <w:t>《海绵城市规划与设计标准》DG/TJ 08-2298-2026</w:t>
            </w:r>
          </w:p>
          <w:p w14:paraId="347813EF">
            <w:pPr>
              <w:pStyle w:val="20"/>
              <w:tabs>
                <w:tab w:val="left" w:pos="0"/>
              </w:tabs>
              <w:ind w:firstLine="0" w:firstLineChars="0"/>
              <w:rPr>
                <w:rFonts w:cs="宋体"/>
                <w:sz w:val="21"/>
                <w:szCs w:val="21"/>
                <w:lang w:bidi="ar"/>
              </w:rPr>
            </w:pPr>
            <w:r>
              <w:rPr>
                <w:rFonts w:cs="Times New Roman"/>
                <w:sz w:val="21"/>
                <w:szCs w:val="21"/>
                <w:lang w:bidi="ar"/>
              </w:rPr>
              <w:t>4.0.5</w:t>
            </w:r>
            <w:r>
              <w:rPr>
                <w:rFonts w:hint="eastAsia" w:cs="Times New Roman"/>
                <w:sz w:val="21"/>
                <w:szCs w:val="21"/>
                <w:lang w:val="en-US" w:eastAsia="zh-CN" w:bidi="ar"/>
              </w:rPr>
              <w:t xml:space="preserve"> </w:t>
            </w:r>
            <w:r>
              <w:rPr>
                <w:rFonts w:hint="eastAsia" w:cs="宋体"/>
                <w:sz w:val="21"/>
                <w:szCs w:val="21"/>
                <w:lang w:bidi="ar"/>
              </w:rPr>
              <w:t>年径流总量控制率和设计降雨量的对应关系应按表</w:t>
            </w:r>
            <w:r>
              <w:rPr>
                <w:rFonts w:cs="Times New Roman"/>
                <w:sz w:val="21"/>
                <w:szCs w:val="21"/>
                <w:lang w:bidi="ar"/>
              </w:rPr>
              <w:t>4.0.5</w:t>
            </w:r>
            <w:r>
              <w:rPr>
                <w:rFonts w:hint="eastAsia" w:cs="宋体"/>
                <w:sz w:val="21"/>
                <w:szCs w:val="21"/>
                <w:lang w:bidi="ar"/>
              </w:rPr>
              <w:t>的规定确定。</w:t>
            </w:r>
          </w:p>
          <w:p w14:paraId="5467150E">
            <w:pPr>
              <w:pStyle w:val="20"/>
              <w:tabs>
                <w:tab w:val="left" w:pos="0"/>
              </w:tabs>
              <w:ind w:firstLine="0" w:firstLineChars="0"/>
              <w:jc w:val="center"/>
              <w:rPr>
                <w:rFonts w:cs="Times New Roman"/>
                <w:sz w:val="21"/>
                <w:szCs w:val="21"/>
              </w:rPr>
            </w:pPr>
            <w:r>
              <w:rPr>
                <w:rFonts w:hint="eastAsia" w:cs="宋体"/>
                <w:sz w:val="21"/>
                <w:szCs w:val="21"/>
                <w:lang w:bidi="ar"/>
              </w:rPr>
              <w:t>表</w:t>
            </w:r>
            <w:r>
              <w:rPr>
                <w:rFonts w:cs="Times New Roman"/>
                <w:sz w:val="21"/>
                <w:szCs w:val="21"/>
                <w:lang w:bidi="ar"/>
              </w:rPr>
              <w:t>4.0.5</w:t>
            </w:r>
            <w:r>
              <w:rPr>
                <w:rFonts w:hint="eastAsia" w:cs="宋体"/>
                <w:sz w:val="21"/>
                <w:szCs w:val="21"/>
                <w:lang w:bidi="ar"/>
              </w:rPr>
              <w:t>上海市年径流总量控制率与设计降雨量的关系</w:t>
            </w:r>
          </w:p>
          <w:tbl>
            <w:tblPr>
              <w:tblStyle w:val="23"/>
              <w:tblW w:w="5000" w:type="pct"/>
              <w:tblInd w:w="5" w:type="dxa"/>
              <w:tblBorders>
                <w:top w:val="single" w:color="auto" w:sz="4" w:space="0"/>
                <w:left w:val="none" w:color="auto" w:sz="4" w:space="0"/>
                <w:bottom w:val="single" w:color="auto" w:sz="4" w:space="0"/>
                <w:right w:val="none" w:color="auto" w:sz="4" w:space="0"/>
                <w:insideH w:val="single" w:color="auto" w:sz="4" w:space="0"/>
                <w:insideV w:val="single" w:color="auto" w:sz="4" w:space="0"/>
              </w:tblBorders>
              <w:tblLayout w:type="fixed"/>
              <w:tblCellMar>
                <w:top w:w="0" w:type="dxa"/>
                <w:left w:w="0" w:type="dxa"/>
                <w:bottom w:w="0" w:type="dxa"/>
                <w:right w:w="0" w:type="dxa"/>
              </w:tblCellMar>
            </w:tblPr>
            <w:tblGrid>
              <w:gridCol w:w="2556"/>
              <w:gridCol w:w="567"/>
              <w:gridCol w:w="567"/>
              <w:gridCol w:w="567"/>
              <w:gridCol w:w="567"/>
              <w:gridCol w:w="567"/>
              <w:gridCol w:w="567"/>
              <w:gridCol w:w="567"/>
            </w:tblGrid>
            <w:tr w14:paraId="33CCA5C0">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0" w:type="dxa"/>
                  <w:bottom w:w="0" w:type="dxa"/>
                  <w:right w:w="0" w:type="dxa"/>
                </w:tblCellMar>
              </w:tblPrEx>
              <w:tc>
                <w:tcPr>
                  <w:tcW w:w="1958" w:type="pct"/>
                  <w:tcBorders>
                    <w:top w:val="single" w:color="auto" w:sz="4" w:space="0"/>
                    <w:left w:val="nil"/>
                    <w:bottom w:val="single" w:color="auto" w:sz="4" w:space="0"/>
                    <w:right w:val="single" w:color="auto" w:sz="4" w:space="0"/>
                  </w:tcBorders>
                  <w:vAlign w:val="top"/>
                </w:tcPr>
                <w:p w14:paraId="38D01F92">
                  <w:pPr>
                    <w:pStyle w:val="20"/>
                    <w:tabs>
                      <w:tab w:val="left" w:pos="0"/>
                    </w:tabs>
                    <w:ind w:firstLine="0" w:firstLineChars="0"/>
                    <w:jc w:val="center"/>
                    <w:rPr>
                      <w:rFonts w:cs="Times New Roman"/>
                      <w:sz w:val="21"/>
                      <w:szCs w:val="21"/>
                    </w:rPr>
                  </w:pPr>
                  <w:r>
                    <w:rPr>
                      <w:rFonts w:hint="eastAsia" w:cs="宋体"/>
                      <w:sz w:val="21"/>
                      <w:szCs w:val="21"/>
                      <w:lang w:bidi="ar"/>
                    </w:rPr>
                    <w:t>年径流总量控制率（</w:t>
                  </w:r>
                  <w:r>
                    <w:rPr>
                      <w:rFonts w:cs="Times New Roman"/>
                      <w:sz w:val="21"/>
                      <w:szCs w:val="21"/>
                      <w:lang w:bidi="ar"/>
                    </w:rPr>
                    <w:t>%</w:t>
                  </w:r>
                  <w:r>
                    <w:rPr>
                      <w:rFonts w:hint="eastAsia" w:cs="宋体"/>
                      <w:sz w:val="21"/>
                      <w:szCs w:val="21"/>
                      <w:lang w:bidi="ar"/>
                    </w:rPr>
                    <w:t>）</w:t>
                  </w:r>
                </w:p>
              </w:tc>
              <w:tc>
                <w:tcPr>
                  <w:tcW w:w="434" w:type="pct"/>
                  <w:tcBorders>
                    <w:top w:val="single" w:color="auto" w:sz="4" w:space="0"/>
                    <w:left w:val="single" w:color="auto" w:sz="4" w:space="0"/>
                    <w:bottom w:val="single" w:color="auto" w:sz="4" w:space="0"/>
                    <w:right w:val="single" w:color="auto" w:sz="4" w:space="0"/>
                  </w:tcBorders>
                </w:tcPr>
                <w:p w14:paraId="103E80E9">
                  <w:pPr>
                    <w:pStyle w:val="20"/>
                    <w:tabs>
                      <w:tab w:val="left" w:pos="0"/>
                    </w:tabs>
                    <w:ind w:firstLine="0" w:firstLineChars="0"/>
                    <w:jc w:val="center"/>
                    <w:rPr>
                      <w:rFonts w:cs="Times New Roman"/>
                      <w:sz w:val="21"/>
                      <w:szCs w:val="21"/>
                    </w:rPr>
                  </w:pPr>
                  <w:r>
                    <w:rPr>
                      <w:rFonts w:cs="Times New Roman"/>
                      <w:sz w:val="21"/>
                      <w:szCs w:val="21"/>
                      <w:lang w:bidi="ar"/>
                    </w:rPr>
                    <w:t>60</w:t>
                  </w:r>
                </w:p>
              </w:tc>
              <w:tc>
                <w:tcPr>
                  <w:tcW w:w="434" w:type="pct"/>
                  <w:tcBorders>
                    <w:top w:val="single" w:color="auto" w:sz="4" w:space="0"/>
                    <w:left w:val="single" w:color="auto" w:sz="4" w:space="0"/>
                    <w:bottom w:val="single" w:color="auto" w:sz="4" w:space="0"/>
                    <w:right w:val="single" w:color="auto" w:sz="4" w:space="0"/>
                  </w:tcBorders>
                </w:tcPr>
                <w:p w14:paraId="13C79B19">
                  <w:pPr>
                    <w:pStyle w:val="20"/>
                    <w:tabs>
                      <w:tab w:val="left" w:pos="0"/>
                    </w:tabs>
                    <w:ind w:firstLine="0" w:firstLineChars="0"/>
                    <w:jc w:val="center"/>
                    <w:rPr>
                      <w:rFonts w:cs="Times New Roman"/>
                      <w:sz w:val="21"/>
                      <w:szCs w:val="21"/>
                    </w:rPr>
                  </w:pPr>
                  <w:r>
                    <w:rPr>
                      <w:rFonts w:cs="Times New Roman"/>
                      <w:sz w:val="21"/>
                      <w:szCs w:val="21"/>
                      <w:lang w:bidi="ar"/>
                    </w:rPr>
                    <w:t>65</w:t>
                  </w:r>
                </w:p>
              </w:tc>
              <w:tc>
                <w:tcPr>
                  <w:tcW w:w="434" w:type="pct"/>
                  <w:tcBorders>
                    <w:top w:val="single" w:color="auto" w:sz="4" w:space="0"/>
                    <w:left w:val="single" w:color="auto" w:sz="4" w:space="0"/>
                    <w:bottom w:val="single" w:color="auto" w:sz="4" w:space="0"/>
                    <w:right w:val="single" w:color="auto" w:sz="4" w:space="0"/>
                  </w:tcBorders>
                </w:tcPr>
                <w:p w14:paraId="2EF7250D">
                  <w:pPr>
                    <w:pStyle w:val="20"/>
                    <w:tabs>
                      <w:tab w:val="left" w:pos="0"/>
                    </w:tabs>
                    <w:ind w:firstLine="0" w:firstLineChars="0"/>
                    <w:jc w:val="center"/>
                    <w:rPr>
                      <w:rFonts w:cs="Times New Roman"/>
                      <w:sz w:val="21"/>
                      <w:szCs w:val="21"/>
                    </w:rPr>
                  </w:pPr>
                  <w:r>
                    <w:rPr>
                      <w:rFonts w:cs="Times New Roman"/>
                      <w:sz w:val="21"/>
                      <w:szCs w:val="21"/>
                      <w:lang w:bidi="ar"/>
                    </w:rPr>
                    <w:t>70</w:t>
                  </w:r>
                </w:p>
              </w:tc>
              <w:tc>
                <w:tcPr>
                  <w:tcW w:w="434" w:type="pct"/>
                  <w:tcBorders>
                    <w:top w:val="single" w:color="auto" w:sz="4" w:space="0"/>
                    <w:left w:val="single" w:color="auto" w:sz="4" w:space="0"/>
                    <w:bottom w:val="single" w:color="auto" w:sz="4" w:space="0"/>
                    <w:right w:val="single" w:color="auto" w:sz="4" w:space="0"/>
                  </w:tcBorders>
                </w:tcPr>
                <w:p w14:paraId="2DF4C78A">
                  <w:pPr>
                    <w:pStyle w:val="20"/>
                    <w:tabs>
                      <w:tab w:val="left" w:pos="0"/>
                    </w:tabs>
                    <w:ind w:firstLine="0" w:firstLineChars="0"/>
                    <w:jc w:val="center"/>
                    <w:rPr>
                      <w:rFonts w:cs="Times New Roman"/>
                      <w:sz w:val="21"/>
                      <w:szCs w:val="21"/>
                    </w:rPr>
                  </w:pPr>
                  <w:r>
                    <w:rPr>
                      <w:rFonts w:cs="Times New Roman"/>
                      <w:sz w:val="21"/>
                      <w:szCs w:val="21"/>
                      <w:lang w:bidi="ar"/>
                    </w:rPr>
                    <w:t>75</w:t>
                  </w:r>
                </w:p>
              </w:tc>
              <w:tc>
                <w:tcPr>
                  <w:tcW w:w="434" w:type="pct"/>
                  <w:tcBorders>
                    <w:top w:val="single" w:color="auto" w:sz="4" w:space="0"/>
                    <w:left w:val="single" w:color="auto" w:sz="4" w:space="0"/>
                    <w:bottom w:val="single" w:color="auto" w:sz="4" w:space="0"/>
                    <w:right w:val="single" w:color="auto" w:sz="4" w:space="0"/>
                  </w:tcBorders>
                </w:tcPr>
                <w:p w14:paraId="6DDA6FFF">
                  <w:pPr>
                    <w:pStyle w:val="20"/>
                    <w:tabs>
                      <w:tab w:val="left" w:pos="0"/>
                    </w:tabs>
                    <w:ind w:firstLine="0" w:firstLineChars="0"/>
                    <w:jc w:val="center"/>
                    <w:rPr>
                      <w:rFonts w:cs="Times New Roman"/>
                      <w:sz w:val="21"/>
                      <w:szCs w:val="21"/>
                    </w:rPr>
                  </w:pPr>
                  <w:r>
                    <w:rPr>
                      <w:rFonts w:cs="Times New Roman"/>
                      <w:sz w:val="21"/>
                      <w:szCs w:val="21"/>
                      <w:lang w:bidi="ar"/>
                    </w:rPr>
                    <w:t>80</w:t>
                  </w:r>
                </w:p>
              </w:tc>
              <w:tc>
                <w:tcPr>
                  <w:tcW w:w="434" w:type="pct"/>
                  <w:tcBorders>
                    <w:top w:val="single" w:color="auto" w:sz="4" w:space="0"/>
                    <w:left w:val="single" w:color="auto" w:sz="4" w:space="0"/>
                    <w:bottom w:val="single" w:color="auto" w:sz="4" w:space="0"/>
                    <w:right w:val="single" w:color="auto" w:sz="4" w:space="0"/>
                  </w:tcBorders>
                </w:tcPr>
                <w:p w14:paraId="37DA7E10">
                  <w:pPr>
                    <w:pStyle w:val="20"/>
                    <w:tabs>
                      <w:tab w:val="left" w:pos="0"/>
                    </w:tabs>
                    <w:ind w:firstLine="0" w:firstLineChars="0"/>
                    <w:jc w:val="center"/>
                    <w:rPr>
                      <w:rFonts w:cs="Times New Roman"/>
                      <w:sz w:val="21"/>
                      <w:szCs w:val="21"/>
                    </w:rPr>
                  </w:pPr>
                  <w:r>
                    <w:rPr>
                      <w:rFonts w:hint="eastAsia" w:cs="Times New Roman"/>
                      <w:sz w:val="21"/>
                      <w:szCs w:val="21"/>
                      <w:lang w:bidi="ar"/>
                    </w:rPr>
                    <w:t>8</w:t>
                  </w:r>
                  <w:r>
                    <w:rPr>
                      <w:rFonts w:cs="Times New Roman"/>
                      <w:sz w:val="21"/>
                      <w:szCs w:val="21"/>
                      <w:lang w:bidi="ar"/>
                    </w:rPr>
                    <w:t>5</w:t>
                  </w:r>
                </w:p>
              </w:tc>
              <w:tc>
                <w:tcPr>
                  <w:tcW w:w="434" w:type="pct"/>
                  <w:tcBorders>
                    <w:top w:val="single" w:color="auto" w:sz="4" w:space="0"/>
                    <w:left w:val="single" w:color="auto" w:sz="4" w:space="0"/>
                    <w:bottom w:val="single" w:color="auto" w:sz="4" w:space="0"/>
                    <w:right w:val="nil"/>
                  </w:tcBorders>
                </w:tcPr>
                <w:p w14:paraId="54A2DADF">
                  <w:pPr>
                    <w:pStyle w:val="20"/>
                    <w:tabs>
                      <w:tab w:val="left" w:pos="0"/>
                    </w:tabs>
                    <w:ind w:firstLine="0" w:firstLineChars="0"/>
                    <w:jc w:val="center"/>
                    <w:rPr>
                      <w:rFonts w:cs="Times New Roman"/>
                      <w:sz w:val="21"/>
                      <w:szCs w:val="21"/>
                    </w:rPr>
                  </w:pPr>
                  <w:r>
                    <w:rPr>
                      <w:rFonts w:cs="Times New Roman"/>
                      <w:sz w:val="21"/>
                      <w:szCs w:val="21"/>
                      <w:lang w:bidi="ar"/>
                    </w:rPr>
                    <w:t>90</w:t>
                  </w:r>
                </w:p>
              </w:tc>
            </w:tr>
            <w:tr w14:paraId="35A6C114">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0" w:type="dxa"/>
                  <w:bottom w:w="0" w:type="dxa"/>
                  <w:right w:w="0" w:type="dxa"/>
                </w:tblCellMar>
              </w:tblPrEx>
              <w:tc>
                <w:tcPr>
                  <w:tcW w:w="1958" w:type="pct"/>
                  <w:tcBorders>
                    <w:top w:val="single" w:color="auto" w:sz="4" w:space="0"/>
                    <w:left w:val="nil"/>
                    <w:bottom w:val="single" w:color="auto" w:sz="4" w:space="0"/>
                    <w:right w:val="single" w:color="auto" w:sz="4" w:space="0"/>
                  </w:tcBorders>
                  <w:vAlign w:val="top"/>
                </w:tcPr>
                <w:p w14:paraId="2E702120">
                  <w:pPr>
                    <w:pStyle w:val="20"/>
                    <w:tabs>
                      <w:tab w:val="left" w:pos="0"/>
                    </w:tabs>
                    <w:ind w:firstLine="0" w:firstLineChars="0"/>
                    <w:jc w:val="center"/>
                    <w:rPr>
                      <w:rFonts w:cs="Times New Roman"/>
                      <w:sz w:val="21"/>
                      <w:szCs w:val="21"/>
                    </w:rPr>
                  </w:pPr>
                  <w:r>
                    <w:rPr>
                      <w:rFonts w:hint="eastAsia" w:cs="宋体"/>
                      <w:sz w:val="21"/>
                      <w:szCs w:val="21"/>
                      <w:lang w:bidi="ar"/>
                    </w:rPr>
                    <w:t>设计日降雨量（</w:t>
                  </w:r>
                  <w:r>
                    <w:rPr>
                      <w:rFonts w:cs="Times New Roman"/>
                      <w:sz w:val="21"/>
                      <w:szCs w:val="21"/>
                      <w:lang w:bidi="ar"/>
                    </w:rPr>
                    <w:t>mm</w:t>
                  </w:r>
                  <w:r>
                    <w:rPr>
                      <w:rFonts w:hint="eastAsia" w:cs="宋体"/>
                      <w:sz w:val="21"/>
                      <w:szCs w:val="21"/>
                      <w:lang w:bidi="ar"/>
                    </w:rPr>
                    <w:t>）</w:t>
                  </w:r>
                </w:p>
              </w:tc>
              <w:tc>
                <w:tcPr>
                  <w:tcW w:w="434" w:type="pct"/>
                  <w:tcBorders>
                    <w:top w:val="single" w:color="auto" w:sz="4" w:space="0"/>
                    <w:left w:val="single" w:color="auto" w:sz="4" w:space="0"/>
                    <w:bottom w:val="single" w:color="auto" w:sz="4" w:space="0"/>
                    <w:right w:val="single" w:color="auto" w:sz="4" w:space="0"/>
                  </w:tcBorders>
                </w:tcPr>
                <w:p w14:paraId="12B32709">
                  <w:pPr>
                    <w:pStyle w:val="20"/>
                    <w:tabs>
                      <w:tab w:val="left" w:pos="0"/>
                    </w:tabs>
                    <w:ind w:firstLine="0" w:firstLineChars="0"/>
                    <w:jc w:val="center"/>
                    <w:rPr>
                      <w:rFonts w:cs="Times New Roman"/>
                      <w:sz w:val="21"/>
                      <w:szCs w:val="21"/>
                    </w:rPr>
                  </w:pPr>
                  <w:r>
                    <w:rPr>
                      <w:rFonts w:cs="Times New Roman"/>
                      <w:sz w:val="21"/>
                      <w:szCs w:val="21"/>
                      <w:lang w:bidi="ar"/>
                    </w:rPr>
                    <w:t>13.4</w:t>
                  </w:r>
                </w:p>
              </w:tc>
              <w:tc>
                <w:tcPr>
                  <w:tcW w:w="434" w:type="pct"/>
                  <w:tcBorders>
                    <w:top w:val="single" w:color="auto" w:sz="4" w:space="0"/>
                    <w:left w:val="single" w:color="auto" w:sz="4" w:space="0"/>
                    <w:bottom w:val="single" w:color="auto" w:sz="4" w:space="0"/>
                    <w:right w:val="single" w:color="auto" w:sz="4" w:space="0"/>
                  </w:tcBorders>
                </w:tcPr>
                <w:p w14:paraId="75AF7101">
                  <w:pPr>
                    <w:pStyle w:val="20"/>
                    <w:tabs>
                      <w:tab w:val="left" w:pos="0"/>
                    </w:tabs>
                    <w:ind w:firstLine="0" w:firstLineChars="0"/>
                    <w:jc w:val="center"/>
                    <w:rPr>
                      <w:rFonts w:cs="Times New Roman"/>
                      <w:sz w:val="21"/>
                      <w:szCs w:val="21"/>
                    </w:rPr>
                  </w:pPr>
                  <w:r>
                    <w:rPr>
                      <w:rFonts w:cs="Times New Roman"/>
                      <w:sz w:val="21"/>
                      <w:szCs w:val="21"/>
                      <w:lang w:bidi="ar"/>
                    </w:rPr>
                    <w:t>16.1</w:t>
                  </w:r>
                </w:p>
              </w:tc>
              <w:tc>
                <w:tcPr>
                  <w:tcW w:w="434" w:type="pct"/>
                  <w:tcBorders>
                    <w:top w:val="single" w:color="auto" w:sz="4" w:space="0"/>
                    <w:left w:val="single" w:color="auto" w:sz="4" w:space="0"/>
                    <w:bottom w:val="single" w:color="auto" w:sz="4" w:space="0"/>
                    <w:right w:val="single" w:color="auto" w:sz="4" w:space="0"/>
                  </w:tcBorders>
                </w:tcPr>
                <w:p w14:paraId="76C824CD">
                  <w:pPr>
                    <w:pStyle w:val="20"/>
                    <w:tabs>
                      <w:tab w:val="left" w:pos="0"/>
                    </w:tabs>
                    <w:ind w:firstLine="0" w:firstLineChars="0"/>
                    <w:jc w:val="center"/>
                    <w:rPr>
                      <w:rFonts w:cs="Times New Roman"/>
                      <w:sz w:val="21"/>
                      <w:szCs w:val="21"/>
                    </w:rPr>
                  </w:pPr>
                  <w:r>
                    <w:rPr>
                      <w:rFonts w:cs="Times New Roman"/>
                      <w:sz w:val="21"/>
                      <w:szCs w:val="21"/>
                      <w:lang w:bidi="ar"/>
                    </w:rPr>
                    <w:t>18.7</w:t>
                  </w:r>
                </w:p>
              </w:tc>
              <w:tc>
                <w:tcPr>
                  <w:tcW w:w="434" w:type="pct"/>
                  <w:tcBorders>
                    <w:top w:val="single" w:color="auto" w:sz="4" w:space="0"/>
                    <w:left w:val="single" w:color="auto" w:sz="4" w:space="0"/>
                    <w:bottom w:val="single" w:color="auto" w:sz="4" w:space="0"/>
                    <w:right w:val="single" w:color="auto" w:sz="4" w:space="0"/>
                  </w:tcBorders>
                </w:tcPr>
                <w:p w14:paraId="19930406">
                  <w:pPr>
                    <w:pStyle w:val="20"/>
                    <w:tabs>
                      <w:tab w:val="left" w:pos="0"/>
                    </w:tabs>
                    <w:ind w:firstLine="0" w:firstLineChars="0"/>
                    <w:jc w:val="center"/>
                    <w:rPr>
                      <w:rFonts w:cs="Times New Roman"/>
                      <w:sz w:val="21"/>
                      <w:szCs w:val="21"/>
                    </w:rPr>
                  </w:pPr>
                  <w:r>
                    <w:rPr>
                      <w:rFonts w:cs="Times New Roman"/>
                      <w:sz w:val="21"/>
                      <w:szCs w:val="21"/>
                      <w:lang w:bidi="ar"/>
                    </w:rPr>
                    <w:t>22.2</w:t>
                  </w:r>
                </w:p>
              </w:tc>
              <w:tc>
                <w:tcPr>
                  <w:tcW w:w="434" w:type="pct"/>
                  <w:tcBorders>
                    <w:top w:val="single" w:color="auto" w:sz="4" w:space="0"/>
                    <w:left w:val="single" w:color="auto" w:sz="4" w:space="0"/>
                    <w:bottom w:val="single" w:color="auto" w:sz="4" w:space="0"/>
                    <w:right w:val="single" w:color="auto" w:sz="4" w:space="0"/>
                  </w:tcBorders>
                </w:tcPr>
                <w:p w14:paraId="6A73DA21">
                  <w:pPr>
                    <w:pStyle w:val="20"/>
                    <w:tabs>
                      <w:tab w:val="left" w:pos="0"/>
                    </w:tabs>
                    <w:ind w:firstLine="0" w:firstLineChars="0"/>
                    <w:jc w:val="center"/>
                    <w:rPr>
                      <w:rFonts w:cs="Times New Roman"/>
                      <w:sz w:val="21"/>
                      <w:szCs w:val="21"/>
                    </w:rPr>
                  </w:pPr>
                  <w:r>
                    <w:rPr>
                      <w:rFonts w:cs="Times New Roman"/>
                      <w:sz w:val="21"/>
                      <w:szCs w:val="21"/>
                      <w:lang w:bidi="ar"/>
                    </w:rPr>
                    <w:t>26.7</w:t>
                  </w:r>
                </w:p>
              </w:tc>
              <w:tc>
                <w:tcPr>
                  <w:tcW w:w="434" w:type="pct"/>
                  <w:tcBorders>
                    <w:top w:val="single" w:color="auto" w:sz="4" w:space="0"/>
                    <w:left w:val="single" w:color="auto" w:sz="4" w:space="0"/>
                    <w:bottom w:val="single" w:color="auto" w:sz="4" w:space="0"/>
                    <w:right w:val="single" w:color="auto" w:sz="4" w:space="0"/>
                  </w:tcBorders>
                </w:tcPr>
                <w:p w14:paraId="117C48D1">
                  <w:pPr>
                    <w:pStyle w:val="20"/>
                    <w:tabs>
                      <w:tab w:val="left" w:pos="0"/>
                    </w:tabs>
                    <w:ind w:firstLine="0" w:firstLineChars="0"/>
                    <w:jc w:val="center"/>
                    <w:rPr>
                      <w:rFonts w:cs="Times New Roman"/>
                      <w:sz w:val="21"/>
                      <w:szCs w:val="21"/>
                    </w:rPr>
                  </w:pPr>
                  <w:r>
                    <w:rPr>
                      <w:rFonts w:cs="Times New Roman"/>
                      <w:sz w:val="21"/>
                      <w:szCs w:val="21"/>
                      <w:lang w:bidi="ar"/>
                    </w:rPr>
                    <w:t>33.0</w:t>
                  </w:r>
                </w:p>
              </w:tc>
              <w:tc>
                <w:tcPr>
                  <w:tcW w:w="434" w:type="pct"/>
                  <w:tcBorders>
                    <w:top w:val="single" w:color="auto" w:sz="4" w:space="0"/>
                    <w:left w:val="single" w:color="auto" w:sz="4" w:space="0"/>
                    <w:bottom w:val="single" w:color="auto" w:sz="4" w:space="0"/>
                    <w:right w:val="nil"/>
                  </w:tcBorders>
                </w:tcPr>
                <w:p w14:paraId="1870CA1B">
                  <w:pPr>
                    <w:pStyle w:val="20"/>
                    <w:tabs>
                      <w:tab w:val="left" w:pos="0"/>
                    </w:tabs>
                    <w:ind w:firstLine="0" w:firstLineChars="0"/>
                    <w:jc w:val="center"/>
                    <w:rPr>
                      <w:rFonts w:cs="Times New Roman"/>
                      <w:sz w:val="21"/>
                      <w:szCs w:val="21"/>
                    </w:rPr>
                  </w:pPr>
                  <w:r>
                    <w:rPr>
                      <w:rFonts w:cs="Times New Roman"/>
                      <w:sz w:val="21"/>
                      <w:szCs w:val="21"/>
                      <w:lang w:bidi="ar"/>
                    </w:rPr>
                    <w:t>42.2</w:t>
                  </w:r>
                </w:p>
              </w:tc>
            </w:tr>
          </w:tbl>
          <w:p w14:paraId="0C09F600">
            <w:pPr>
              <w:pStyle w:val="35"/>
              <w:tabs>
                <w:tab w:val="left" w:pos="0"/>
              </w:tabs>
              <w:spacing w:before="156" w:beforeLines="50"/>
              <w:rPr>
                <w:b/>
                <w:bCs/>
                <w:i/>
                <w:iCs/>
              </w:rPr>
            </w:pPr>
            <w:r>
              <w:rPr>
                <w:rFonts w:hint="eastAsia"/>
                <w:b/>
                <w:bCs/>
                <w:i/>
                <w:iCs/>
              </w:rPr>
              <w:t>审查说明：表中未列及数据可查阅该标准条文说明中给出的“上海市年径流总量控制率对应的设计降雨量的关系图”，或根据相应的海绵城市建设规划确定。</w:t>
            </w:r>
          </w:p>
          <w:p w14:paraId="60E12B75">
            <w:pPr>
              <w:pStyle w:val="35"/>
              <w:tabs>
                <w:tab w:val="left" w:pos="0"/>
              </w:tabs>
              <w:spacing w:before="156" w:beforeLines="50"/>
              <w:rPr>
                <w:rFonts w:hint="eastAsia"/>
              </w:rPr>
            </w:pPr>
          </w:p>
          <w:p w14:paraId="33F40B84">
            <w:pPr>
              <w:pStyle w:val="20"/>
              <w:tabs>
                <w:tab w:val="left" w:pos="0"/>
              </w:tabs>
              <w:ind w:firstLine="0" w:firstLineChars="0"/>
              <w:rPr>
                <w:rFonts w:cs="Times New Roman"/>
                <w:sz w:val="21"/>
                <w:szCs w:val="21"/>
              </w:rPr>
            </w:pPr>
            <w:r>
              <w:rPr>
                <w:rFonts w:cs="Times New Roman"/>
                <w:sz w:val="21"/>
                <w:szCs w:val="21"/>
                <w:lang w:bidi="ar"/>
              </w:rPr>
              <w:t xml:space="preserve">6.2.1 </w:t>
            </w:r>
            <w:r>
              <w:rPr>
                <w:rFonts w:hint="eastAsia" w:cs="宋体"/>
                <w:sz w:val="21"/>
                <w:szCs w:val="21"/>
                <w:lang w:bidi="ar"/>
              </w:rPr>
              <w:t>建设项目的海绵城市设计计算应包括年径流总量控制率、年径流污染控制率、径流峰值控制对应的调蓄量。</w:t>
            </w:r>
          </w:p>
          <w:p w14:paraId="7282F8F8">
            <w:pPr>
              <w:pStyle w:val="35"/>
              <w:rPr>
                <w:b/>
                <w:bCs/>
                <w:i/>
                <w:iCs/>
              </w:rPr>
            </w:pPr>
            <w:r>
              <w:rPr>
                <w:rFonts w:hint="eastAsia" w:cs="宋体"/>
                <w:b/>
                <w:bCs/>
                <w:i/>
                <w:iCs/>
                <w:szCs w:val="21"/>
                <w:lang w:bidi="ar"/>
              </w:rPr>
              <w:t>审查说明：施工图设计应针对相关规划或海绵城市主管部门核提的项目海绵城市建设指标提供设计计算书，计算书中应给出各项指标的计算过程，并对照指标要求明确是否达标。</w:t>
            </w:r>
            <w:r>
              <w:rPr>
                <w:rFonts w:hint="eastAsia"/>
                <w:b/>
                <w:bCs/>
                <w:i/>
                <w:iCs/>
              </w:rPr>
              <w:t>计算书中还应对海绵设施进水通道、溢流通道的过流能力进行复核。</w:t>
            </w:r>
          </w:p>
          <w:p w14:paraId="4B91C091">
            <w:pPr>
              <w:pStyle w:val="35"/>
              <w:rPr>
                <w:rFonts w:hint="eastAsia" w:cs="宋体"/>
                <w:b/>
                <w:bCs/>
                <w:i/>
                <w:iCs/>
                <w:szCs w:val="21"/>
                <w:lang w:bidi="ar"/>
              </w:rPr>
            </w:pPr>
          </w:p>
          <w:p w14:paraId="67035E8B">
            <w:pPr>
              <w:pStyle w:val="20"/>
              <w:tabs>
                <w:tab w:val="left" w:pos="0"/>
              </w:tabs>
              <w:ind w:firstLine="0" w:firstLineChars="0"/>
              <w:rPr>
                <w:rFonts w:cs="宋体"/>
                <w:sz w:val="21"/>
                <w:szCs w:val="21"/>
                <w:lang w:bidi="ar"/>
              </w:rPr>
            </w:pPr>
            <w:r>
              <w:rPr>
                <w:rFonts w:cs="Times New Roman"/>
                <w:sz w:val="21"/>
                <w:szCs w:val="21"/>
                <w:lang w:bidi="ar"/>
              </w:rPr>
              <w:t xml:space="preserve">6.2.2 </w:t>
            </w:r>
            <w:r>
              <w:rPr>
                <w:rFonts w:hint="eastAsia" w:cs="宋体"/>
                <w:sz w:val="21"/>
                <w:szCs w:val="21"/>
                <w:lang w:bidi="ar"/>
              </w:rPr>
              <w:t>年径流总量控制率对应的调蓄量可按下列公式计算：</w:t>
            </w:r>
          </w:p>
          <w:p w14:paraId="4F687754">
            <w:pPr>
              <w:pStyle w:val="35"/>
              <w:tabs>
                <w:tab w:val="left" w:pos="0"/>
              </w:tabs>
              <w:rPr>
                <w:rFonts w:eastAsiaTheme="minorEastAsia" w:cstheme="minorEastAsia"/>
                <w:bCs/>
                <w:i/>
                <w:szCs w:val="21"/>
              </w:rPr>
            </w:pPr>
            <m:oMathPara>
              <m:oMath>
                <m:r>
                  <m:rPr/>
                  <w:rPr>
                    <w:rFonts w:ascii="Cambria Math" w:hAnsi="Cambria Math" w:eastAsia="Cambria Math" w:cs="Cambria Math"/>
                    <w:szCs w:val="21"/>
                  </w:rPr>
                  <m:t>W</m:t>
                </m:r>
                <m:r>
                  <m:rPr>
                    <m:sty m:val="p"/>
                  </m:rPr>
                  <w:rPr>
                    <w:rFonts w:ascii="Cambria Math" w:hAnsi="Cambria Math" w:eastAsia="Cambria Math" w:cs="Cambria Math"/>
                    <w:szCs w:val="21"/>
                  </w:rPr>
                  <m:t>=</m:t>
                </m:r>
                <m:r>
                  <m:rPr/>
                  <w:rPr>
                    <w:rFonts w:ascii="Cambria Math" w:hAnsi="Cambria Math" w:eastAsia="Cambria Math" w:cstheme="minorEastAsia"/>
                    <w:szCs w:val="21"/>
                  </w:rPr>
                  <m:t>1</m:t>
                </m:r>
                <m:r>
                  <m:rPr/>
                  <w:rPr>
                    <w:rFonts w:ascii="Cambria Math" w:hAnsi="Cambria Math" w:eastAsiaTheme="minorEastAsia" w:cstheme="minorEastAsia"/>
                    <w:szCs w:val="21"/>
                  </w:rPr>
                  <m:t>0</m:t>
                </m:r>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r>
                  <m:rPr/>
                  <w:rPr>
                    <w:rFonts w:ascii="Cambria Math" w:hAnsi="Cambria Math" w:eastAsiaTheme="minorEastAsia" w:cstheme="minorEastAsia"/>
                    <w:szCs w:val="21"/>
                  </w:rPr>
                  <m:t>hF</m:t>
                </m:r>
              </m:oMath>
            </m:oMathPara>
          </w:p>
          <w:p w14:paraId="613C0B40">
            <w:pPr>
              <w:pStyle w:val="35"/>
              <w:tabs>
                <w:tab w:val="left" w:pos="0"/>
              </w:tabs>
              <w:rPr>
                <w:rFonts w:eastAsiaTheme="minorEastAsia" w:cstheme="minorEastAsia"/>
                <w:bCs/>
                <w:i/>
                <w:szCs w:val="21"/>
              </w:rPr>
            </w:pPr>
            <m:oMathPara>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r>
                  <m:rPr>
                    <m:sty m:val="p"/>
                  </m:rPr>
                  <w:rPr>
                    <w:rFonts w:ascii="Cambria Math" w:hAnsi="Cambria Math" w:eastAsia="Cambria Math" w:cs="Cambria Math"/>
                    <w:szCs w:val="21"/>
                  </w:rPr>
                  <m:t>=</m:t>
                </m:r>
                <m:f>
                  <m:fPr>
                    <m:ctrlPr>
                      <w:rPr>
                        <w:rFonts w:ascii="Cambria Math" w:hAnsi="Cambria Math" w:eastAsia="Cambria Math" w:cs="Cambria Math"/>
                        <w:szCs w:val="21"/>
                      </w:rPr>
                    </m:ctrlPr>
                  </m:fPr>
                  <m:num>
                    <m:r>
                      <m:rPr/>
                      <w:rPr>
                        <w:rFonts w:ascii="Cambria Math" w:hAnsi="Cambria Math" w:eastAsia="Cambria Math" w:cs="Cambria Math"/>
                        <w:szCs w:val="21"/>
                      </w:rPr>
                      <m:t>Σ</m:t>
                    </m:r>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ctrlPr>
                      <w:rPr>
                        <w:rFonts w:ascii="Cambria Math" w:hAnsi="Cambria Math" w:eastAsia="Cambria Math" w:cs="Cambria Math"/>
                        <w:szCs w:val="21"/>
                      </w:rPr>
                    </m:ctrlPr>
                  </m:num>
                  <m:den>
                    <m:r>
                      <m:rPr/>
                      <w:rPr>
                        <w:rFonts w:ascii="Cambria Math" w:hAnsi="Cambria Math" w:eastAsia="Cambria Math" w:cs="Cambria Math"/>
                        <w:szCs w:val="21"/>
                      </w:rPr>
                      <m:t>F</m:t>
                    </m:r>
                    <m:ctrlPr>
                      <w:rPr>
                        <w:rFonts w:ascii="Cambria Math" w:hAnsi="Cambria Math" w:eastAsia="Cambria Math" w:cs="Cambria Math"/>
                        <w:szCs w:val="21"/>
                      </w:rPr>
                    </m:ctrlPr>
                  </m:den>
                </m:f>
              </m:oMath>
            </m:oMathPara>
          </w:p>
          <w:p w14:paraId="6D847A32">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W</m:t>
              </m:r>
            </m:oMath>
            <w:r>
              <w:rPr>
                <w:rFonts w:hint="eastAsia" w:cstheme="minorEastAsia"/>
                <w:bCs/>
                <w:szCs w:val="21"/>
              </w:rPr>
              <w:t>——年径流总量控制率对应的设计调蓄量（m</w:t>
            </w:r>
            <w:r>
              <w:rPr>
                <w:rFonts w:cstheme="minorEastAsia"/>
                <w:bCs/>
                <w:szCs w:val="21"/>
                <w:vertAlign w:val="superscript"/>
              </w:rPr>
              <w:t>3</w:t>
            </w:r>
            <w:r>
              <w:rPr>
                <w:rFonts w:hint="eastAsia" w:cstheme="minorEastAsia"/>
                <w:bCs/>
                <w:szCs w:val="21"/>
              </w:rPr>
              <w:t>）；</w:t>
            </w:r>
          </w:p>
          <w:p w14:paraId="1D7500C6">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oMath>
            <w:r>
              <w:rPr>
                <w:rFonts w:hint="eastAsia" w:cstheme="minorEastAsia"/>
                <w:bCs/>
                <w:szCs w:val="21"/>
              </w:rPr>
              <w:t>——综合径流系数；</w:t>
            </w:r>
          </w:p>
          <w:p w14:paraId="46F59A54">
            <w:pPr>
              <w:pStyle w:val="35"/>
              <w:tabs>
                <w:tab w:val="left" w:pos="0"/>
              </w:tabs>
              <w:ind w:left="630" w:leftChars="300"/>
              <w:rPr>
                <w:rFonts w:cstheme="minorEastAsia"/>
                <w:bCs/>
                <w:szCs w:val="21"/>
              </w:rPr>
            </w:pPr>
            <w:r>
              <w:rPr>
                <w:rFonts w:cstheme="minorEastAsia"/>
                <w:bCs/>
                <w:i/>
                <w:iCs/>
                <w:szCs w:val="21"/>
              </w:rPr>
              <w:t>h</w:t>
            </w:r>
            <w:r>
              <w:rPr>
                <w:rFonts w:hint="eastAsia" w:cstheme="minorEastAsia"/>
                <w:bCs/>
                <w:szCs w:val="21"/>
              </w:rPr>
              <w:t>——设计降雨量，可按照表4.0.5根据年径流总量控制率要求选取</w:t>
            </w:r>
            <w:r>
              <w:rPr>
                <w:rFonts w:hint="eastAsia" w:cstheme="minorEastAsia"/>
                <w:bCs/>
                <w:szCs w:val="21"/>
                <w:lang w:eastAsia="zh-CN"/>
              </w:rPr>
              <w:t>（</w:t>
            </w:r>
            <w:r>
              <w:rPr>
                <w:rFonts w:hint="eastAsia" w:cstheme="minorEastAsia"/>
                <w:bCs/>
                <w:szCs w:val="21"/>
              </w:rPr>
              <w:t>mm</w:t>
            </w:r>
            <w:r>
              <w:rPr>
                <w:rFonts w:hint="eastAsia" w:cstheme="minorEastAsia"/>
                <w:bCs/>
                <w:szCs w:val="21"/>
                <w:lang w:eastAsia="zh-CN"/>
              </w:rPr>
              <w:t>）</w:t>
            </w:r>
            <w:r>
              <w:rPr>
                <w:rFonts w:hint="eastAsia" w:cstheme="minorEastAsia"/>
                <w:bCs/>
                <w:szCs w:val="21"/>
              </w:rPr>
              <w:t>；</w:t>
            </w:r>
          </w:p>
          <w:p w14:paraId="27962A2E">
            <w:pPr>
              <w:pStyle w:val="35"/>
              <w:tabs>
                <w:tab w:val="left" w:pos="0"/>
              </w:tabs>
              <w:ind w:left="630" w:leftChars="300"/>
              <w:rPr>
                <w:rFonts w:cstheme="minorEastAsia"/>
                <w:bCs/>
                <w:szCs w:val="21"/>
              </w:rPr>
            </w:pPr>
            <m:oMath>
              <m:r>
                <m:rPr/>
                <w:rPr>
                  <w:rFonts w:ascii="Cambria Math" w:hAnsi="Cambria Math" w:cs="宋体"/>
                  <w:szCs w:val="21"/>
                </w:rPr>
                <m:t>F</m:t>
              </m:r>
            </m:oMath>
            <w:r>
              <w:rPr>
                <w:rFonts w:hint="eastAsia" w:cstheme="minorEastAsia"/>
                <w:bCs/>
                <w:szCs w:val="21"/>
              </w:rPr>
              <w:t>——</w:t>
            </w:r>
            <w:r>
              <w:rPr>
                <w:rFonts w:hint="eastAsia"/>
              </w:rPr>
              <w:t>汇水面积（hm</w:t>
            </w:r>
            <w:r>
              <w:rPr>
                <w:vertAlign w:val="superscript"/>
              </w:rPr>
              <w:t>2</w:t>
            </w:r>
            <w:r>
              <w:rPr>
                <w:rFonts w:hint="eastAsia"/>
              </w:rPr>
              <w:t>）</w:t>
            </w:r>
            <w:r>
              <w:rPr>
                <w:rFonts w:hint="eastAsia" w:cstheme="minorEastAsia"/>
                <w:bCs/>
                <w:szCs w:val="21"/>
              </w:rPr>
              <w:t>；</w:t>
            </w:r>
          </w:p>
          <w:p w14:paraId="2998CB3A">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r>
                <m:rPr>
                  <m:sty m:val="p"/>
                </m:rPr>
                <w:rPr>
                  <w:rFonts w:ascii="Cambria Math" w:hAnsi="Cambria Math" w:cs="Cambria Math"/>
                  <w:szCs w:val="21"/>
                </w:rPr>
                <m:t>−−</m:t>
              </m:r>
            </m:oMath>
            <w:r>
              <w:rPr>
                <w:rFonts w:hint="eastAsia"/>
              </w:rPr>
              <w:t>汇水区内第i类下垫面的面积（hm</w:t>
            </w:r>
            <w:r>
              <w:rPr>
                <w:rFonts w:hint="eastAsia"/>
                <w:vertAlign w:val="superscript"/>
              </w:rPr>
              <w:t>2</w:t>
            </w:r>
            <w:r>
              <w:rPr>
                <w:rFonts w:hint="eastAsia"/>
              </w:rPr>
              <w:t>）</w:t>
            </w:r>
            <w:r>
              <w:rPr>
                <w:rFonts w:hint="eastAsia" w:cstheme="minorEastAsia"/>
                <w:bCs/>
                <w:szCs w:val="21"/>
              </w:rPr>
              <w:t>；</w:t>
            </w:r>
          </w:p>
          <w:p w14:paraId="5DCCB96B">
            <w:pPr>
              <w:pStyle w:val="20"/>
              <w:tabs>
                <w:tab w:val="left" w:pos="0"/>
              </w:tabs>
              <w:ind w:left="630" w:leftChars="300" w:firstLine="0" w:firstLineChars="0"/>
              <w:rPr>
                <w:rFonts w:cs="宋体"/>
                <w:bCs/>
                <w:i/>
                <w:sz w:val="21"/>
                <w:szCs w:val="21"/>
              </w:rPr>
            </w:pPr>
            <m:oMath>
              <m:sSub>
                <m:sSubPr>
                  <m:ctrlPr>
                    <w:rPr>
                      <w:rFonts w:ascii="Cambria Math" w:hAnsi="Cambria Math" w:cs="宋体"/>
                      <w:bCs/>
                      <w:i/>
                      <w:sz w:val="21"/>
                      <w:szCs w:val="21"/>
                    </w:rPr>
                  </m:ctrlPr>
                </m:sSubPr>
                <m:e>
                  <m:r>
                    <m:rPr/>
                    <w:rPr>
                      <w:rFonts w:ascii="Cambria Math" w:hAnsi="Cambria Math" w:cs="宋体"/>
                      <w:sz w:val="21"/>
                      <w:szCs w:val="21"/>
                    </w:rPr>
                    <m:t>Ψ</m:t>
                  </m:r>
                  <m:ctrlPr>
                    <w:rPr>
                      <w:rFonts w:ascii="Cambria Math" w:hAnsi="Cambria Math" w:cs="宋体"/>
                      <w:bCs/>
                      <w:i/>
                      <w:sz w:val="21"/>
                      <w:szCs w:val="21"/>
                    </w:rPr>
                  </m:ctrlPr>
                </m:e>
                <m:sub>
                  <m:r>
                    <m:rPr/>
                    <w:rPr>
                      <w:rFonts w:ascii="Cambria Math" w:hAnsi="Cambria Math" w:cs="宋体"/>
                      <w:sz w:val="21"/>
                      <w:szCs w:val="21"/>
                    </w:rPr>
                    <m:t>i</m:t>
                  </m:r>
                  <m:ctrlPr>
                    <w:rPr>
                      <w:rFonts w:ascii="Cambria Math" w:hAnsi="Cambria Math" w:cs="宋体"/>
                      <w:bCs/>
                      <w:i/>
                      <w:sz w:val="21"/>
                      <w:szCs w:val="21"/>
                    </w:rPr>
                  </m:ctrlPr>
                </m:sub>
              </m:sSub>
            </m:oMath>
            <w:r>
              <w:rPr>
                <w:rFonts w:hint="eastAsia" w:cstheme="minorEastAsia"/>
                <w:bCs/>
                <w:sz w:val="21"/>
                <w:szCs w:val="21"/>
              </w:rPr>
              <w:t>——第i类下垫面的径流系数，宜按表6.2.2取值。</w:t>
            </w:r>
          </w:p>
          <w:p w14:paraId="278AEF3C">
            <w:pPr>
              <w:pStyle w:val="20"/>
              <w:tabs>
                <w:tab w:val="left" w:pos="0"/>
              </w:tabs>
              <w:ind w:firstLine="0" w:firstLineChars="0"/>
              <w:jc w:val="center"/>
              <w:rPr>
                <w:rFonts w:cs="Times New Roman"/>
                <w:b/>
                <w:bCs/>
                <w:sz w:val="21"/>
                <w:szCs w:val="21"/>
              </w:rPr>
            </w:pPr>
            <w:r>
              <w:rPr>
                <w:rFonts w:hint="eastAsia" w:cs="宋体"/>
                <w:b/>
                <w:bCs/>
                <w:sz w:val="21"/>
                <w:szCs w:val="21"/>
                <w:lang w:bidi="ar"/>
              </w:rPr>
              <w:t>表</w:t>
            </w:r>
            <w:r>
              <w:rPr>
                <w:rFonts w:cs="Times New Roman"/>
                <w:b/>
                <w:bCs/>
                <w:sz w:val="21"/>
                <w:szCs w:val="21"/>
                <w:lang w:bidi="ar"/>
              </w:rPr>
              <w:t>6.2.2</w:t>
            </w:r>
            <w:r>
              <w:rPr>
                <w:rFonts w:hint="eastAsia" w:cs="宋体"/>
                <w:b/>
                <w:bCs/>
                <w:sz w:val="21"/>
                <w:szCs w:val="21"/>
                <w:lang w:bidi="ar"/>
              </w:rPr>
              <w:t>径流系数</w:t>
            </w:r>
          </w:p>
          <w:tbl>
            <w:tblPr>
              <w:tblStyle w:val="23"/>
              <w:tblW w:w="5000" w:type="pct"/>
              <w:jc w:val="center"/>
              <w:tblBorders>
                <w:top w:val="single" w:color="auto" w:sz="4" w:space="0"/>
                <w:left w:val="none" w:color="auto" w:sz="4" w:space="0"/>
                <w:bottom w:val="single" w:color="auto" w:sz="4" w:space="0"/>
                <w:right w:val="non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4264"/>
              <w:gridCol w:w="1373"/>
            </w:tblGrid>
            <w:tr w14:paraId="66EDAEB3">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8" w:type="pct"/>
                  <w:gridSpan w:val="2"/>
                  <w:tcBorders>
                    <w:top w:val="single" w:color="auto" w:sz="4" w:space="0"/>
                    <w:left w:val="nil"/>
                    <w:bottom w:val="single" w:color="auto" w:sz="4" w:space="0"/>
                    <w:right w:val="single" w:color="auto" w:sz="4" w:space="0"/>
                  </w:tcBorders>
                  <w:vAlign w:val="center"/>
                </w:tcPr>
                <w:p w14:paraId="474A8546">
                  <w:pPr>
                    <w:tabs>
                      <w:tab w:val="left" w:pos="0"/>
                    </w:tabs>
                    <w:ind w:firstLine="0" w:firstLineChars="0"/>
                    <w:jc w:val="center"/>
                    <w:rPr>
                      <w:rFonts w:cs="宋体"/>
                      <w:bCs/>
                      <w:szCs w:val="21"/>
                    </w:rPr>
                  </w:pPr>
                  <w:r>
                    <w:rPr>
                      <w:rFonts w:hint="eastAsia" w:cs="宋体"/>
                      <w:bCs/>
                      <w:szCs w:val="21"/>
                      <w:lang w:bidi="ar"/>
                    </w:rPr>
                    <w:t>下垫面种类</w:t>
                  </w:r>
                </w:p>
              </w:tc>
              <w:tc>
                <w:tcPr>
                  <w:tcW w:w="1052" w:type="pct"/>
                  <w:tcBorders>
                    <w:top w:val="single" w:color="auto" w:sz="4" w:space="0"/>
                    <w:left w:val="single" w:color="auto" w:sz="4" w:space="0"/>
                    <w:bottom w:val="single" w:color="auto" w:sz="4" w:space="0"/>
                    <w:right w:val="nil"/>
                  </w:tcBorders>
                  <w:vAlign w:val="center"/>
                </w:tcPr>
                <w:p w14:paraId="4BA6D966">
                  <w:pPr>
                    <w:tabs>
                      <w:tab w:val="left" w:pos="0"/>
                    </w:tabs>
                    <w:ind w:firstLine="0" w:firstLineChars="0"/>
                    <w:jc w:val="center"/>
                    <w:rPr>
                      <w:rFonts w:cs="宋体"/>
                      <w:bCs/>
                      <w:szCs w:val="21"/>
                    </w:rPr>
                  </w:pPr>
                  <w:r>
                    <w:rPr>
                      <w:rFonts w:hint="eastAsia" w:cs="宋体"/>
                      <w:bCs/>
                      <w:szCs w:val="21"/>
                      <w:lang w:bidi="ar"/>
                    </w:rPr>
                    <w:t>径流系数</w:t>
                  </w:r>
                </w:p>
              </w:tc>
            </w:tr>
            <w:tr w14:paraId="45A2A7BB">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tcBorders>
                    <w:top w:val="nil"/>
                    <w:left w:val="nil"/>
                    <w:bottom w:val="single" w:color="auto" w:sz="4" w:space="0"/>
                    <w:right w:val="single" w:color="auto" w:sz="4" w:space="0"/>
                  </w:tcBorders>
                  <w:vAlign w:val="center"/>
                </w:tcPr>
                <w:p w14:paraId="4B09210F">
                  <w:pPr>
                    <w:tabs>
                      <w:tab w:val="left" w:pos="0"/>
                    </w:tabs>
                    <w:ind w:firstLine="0" w:firstLineChars="0"/>
                    <w:jc w:val="center"/>
                    <w:rPr>
                      <w:rFonts w:cs="宋体"/>
                      <w:bCs/>
                      <w:szCs w:val="21"/>
                    </w:rPr>
                  </w:pPr>
                  <w:r>
                    <w:rPr>
                      <w:rFonts w:hint="eastAsia" w:cs="宋体"/>
                      <w:bCs/>
                      <w:szCs w:val="21"/>
                      <w:lang w:bidi="ar"/>
                    </w:rPr>
                    <w:t>屋面</w:t>
                  </w:r>
                </w:p>
              </w:tc>
              <w:tc>
                <w:tcPr>
                  <w:tcW w:w="3268" w:type="pct"/>
                  <w:tcBorders>
                    <w:top w:val="single" w:color="auto" w:sz="4" w:space="0"/>
                    <w:left w:val="single" w:color="auto" w:sz="4" w:space="0"/>
                    <w:bottom w:val="single" w:color="auto" w:sz="4" w:space="0"/>
                    <w:right w:val="single" w:color="auto" w:sz="4" w:space="0"/>
                  </w:tcBorders>
                  <w:vAlign w:val="center"/>
                </w:tcPr>
                <w:p w14:paraId="2C4D3B4A">
                  <w:pPr>
                    <w:tabs>
                      <w:tab w:val="left" w:pos="0"/>
                    </w:tabs>
                    <w:ind w:firstLine="0" w:firstLineChars="0"/>
                    <w:jc w:val="center"/>
                    <w:rPr>
                      <w:rFonts w:cs="宋体"/>
                      <w:bCs/>
                      <w:szCs w:val="21"/>
                    </w:rPr>
                  </w:pPr>
                  <w:r>
                    <w:rPr>
                      <w:rFonts w:hint="eastAsia" w:cs="宋体"/>
                      <w:bCs/>
                      <w:szCs w:val="21"/>
                      <w:lang w:bidi="ar"/>
                    </w:rPr>
                    <w:t>绿化屋面</w:t>
                  </w:r>
                  <w:r>
                    <w:rPr>
                      <w:rFonts w:cs="Times New Roman"/>
                      <w:bCs/>
                      <w:szCs w:val="21"/>
                      <w:lang w:bidi="ar"/>
                    </w:rPr>
                    <w:t>(</w:t>
                  </w:r>
                  <w:r>
                    <w:rPr>
                      <w:rFonts w:hint="eastAsia" w:cs="宋体"/>
                      <w:bCs/>
                      <w:szCs w:val="21"/>
                      <w:lang w:bidi="ar"/>
                    </w:rPr>
                    <w:t>基质层厚度≥</w:t>
                  </w:r>
                  <w:r>
                    <w:rPr>
                      <w:rFonts w:cs="Times New Roman"/>
                      <w:bCs/>
                      <w:szCs w:val="21"/>
                      <w:lang w:bidi="ar"/>
                    </w:rPr>
                    <w:t>300mm)</w:t>
                  </w:r>
                </w:p>
              </w:tc>
              <w:tc>
                <w:tcPr>
                  <w:tcW w:w="1052" w:type="pct"/>
                  <w:tcBorders>
                    <w:top w:val="single" w:color="auto" w:sz="4" w:space="0"/>
                    <w:left w:val="single" w:color="auto" w:sz="4" w:space="0"/>
                    <w:bottom w:val="single" w:color="auto" w:sz="4" w:space="0"/>
                    <w:right w:val="nil"/>
                  </w:tcBorders>
                  <w:vAlign w:val="center"/>
                </w:tcPr>
                <w:p w14:paraId="6289FE9D">
                  <w:pPr>
                    <w:tabs>
                      <w:tab w:val="left" w:pos="0"/>
                    </w:tabs>
                    <w:ind w:firstLine="0" w:firstLineChars="0"/>
                    <w:jc w:val="center"/>
                    <w:rPr>
                      <w:rFonts w:cs="宋体"/>
                      <w:bCs/>
                      <w:szCs w:val="21"/>
                    </w:rPr>
                  </w:pPr>
                  <w:r>
                    <w:rPr>
                      <w:rFonts w:cs="宋体"/>
                      <w:bCs/>
                      <w:szCs w:val="21"/>
                      <w:lang w:bidi="ar"/>
                    </w:rPr>
                    <w:t>0.30~0.40</w:t>
                  </w:r>
                </w:p>
              </w:tc>
            </w:tr>
            <w:tr w14:paraId="2073BFE0">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07C40974">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6A26FE28">
                  <w:pPr>
                    <w:tabs>
                      <w:tab w:val="left" w:pos="0"/>
                    </w:tabs>
                    <w:ind w:firstLine="0" w:firstLineChars="0"/>
                    <w:jc w:val="center"/>
                    <w:rPr>
                      <w:rFonts w:cs="宋体"/>
                      <w:bCs/>
                      <w:szCs w:val="21"/>
                    </w:rPr>
                  </w:pPr>
                  <w:r>
                    <w:rPr>
                      <w:rFonts w:hint="eastAsia" w:cs="宋体"/>
                      <w:bCs/>
                      <w:szCs w:val="21"/>
                      <w:lang w:bidi="ar"/>
                    </w:rPr>
                    <w:t>绿化屋面</w:t>
                  </w:r>
                  <w:r>
                    <w:rPr>
                      <w:rFonts w:cs="Times New Roman"/>
                      <w:bCs/>
                      <w:szCs w:val="21"/>
                      <w:lang w:bidi="ar"/>
                    </w:rPr>
                    <w:t>(100mm</w:t>
                  </w:r>
                  <w:r>
                    <w:rPr>
                      <w:rFonts w:hint="eastAsia" w:cs="宋体"/>
                      <w:bCs/>
                      <w:szCs w:val="21"/>
                      <w:lang w:bidi="ar"/>
                    </w:rPr>
                    <w:t>≤基质层厚度≤</w:t>
                  </w:r>
                  <w:r>
                    <w:rPr>
                      <w:rFonts w:cs="Times New Roman"/>
                      <w:bCs/>
                      <w:szCs w:val="21"/>
                      <w:lang w:bidi="ar"/>
                    </w:rPr>
                    <w:t>300mm)</w:t>
                  </w:r>
                </w:p>
              </w:tc>
              <w:tc>
                <w:tcPr>
                  <w:tcW w:w="1052" w:type="pct"/>
                  <w:tcBorders>
                    <w:top w:val="single" w:color="auto" w:sz="4" w:space="0"/>
                    <w:left w:val="single" w:color="auto" w:sz="4" w:space="0"/>
                    <w:bottom w:val="single" w:color="auto" w:sz="4" w:space="0"/>
                    <w:right w:val="nil"/>
                  </w:tcBorders>
                  <w:vAlign w:val="center"/>
                </w:tcPr>
                <w:p w14:paraId="339B3EAF">
                  <w:pPr>
                    <w:tabs>
                      <w:tab w:val="left" w:pos="0"/>
                    </w:tabs>
                    <w:ind w:firstLine="0" w:firstLineChars="0"/>
                    <w:jc w:val="center"/>
                    <w:rPr>
                      <w:rFonts w:cs="宋体"/>
                      <w:bCs/>
                      <w:szCs w:val="21"/>
                    </w:rPr>
                  </w:pPr>
                  <w:r>
                    <w:rPr>
                      <w:rFonts w:cs="宋体"/>
                      <w:bCs/>
                      <w:szCs w:val="21"/>
                      <w:lang w:bidi="ar"/>
                    </w:rPr>
                    <w:t>0.50</w:t>
                  </w:r>
                </w:p>
              </w:tc>
            </w:tr>
            <w:tr w14:paraId="2A38FAA2">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51A22A74">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1F9F6E35">
                  <w:pPr>
                    <w:tabs>
                      <w:tab w:val="left" w:pos="0"/>
                    </w:tabs>
                    <w:ind w:firstLine="0" w:firstLineChars="0"/>
                    <w:jc w:val="center"/>
                    <w:rPr>
                      <w:rFonts w:cs="宋体"/>
                      <w:bCs/>
                      <w:szCs w:val="21"/>
                    </w:rPr>
                  </w:pPr>
                  <w:r>
                    <w:rPr>
                      <w:rFonts w:hint="eastAsia" w:cs="宋体"/>
                      <w:bCs/>
                      <w:szCs w:val="21"/>
                      <w:lang w:bidi="ar"/>
                    </w:rPr>
                    <w:t>硬屋面</w:t>
                  </w:r>
                </w:p>
              </w:tc>
              <w:tc>
                <w:tcPr>
                  <w:tcW w:w="1052" w:type="pct"/>
                  <w:tcBorders>
                    <w:top w:val="single" w:color="auto" w:sz="4" w:space="0"/>
                    <w:left w:val="single" w:color="auto" w:sz="4" w:space="0"/>
                    <w:bottom w:val="single" w:color="auto" w:sz="4" w:space="0"/>
                    <w:right w:val="nil"/>
                  </w:tcBorders>
                  <w:vAlign w:val="center"/>
                </w:tcPr>
                <w:p w14:paraId="28E7DD8F">
                  <w:pPr>
                    <w:tabs>
                      <w:tab w:val="left" w:pos="0"/>
                    </w:tabs>
                    <w:ind w:firstLine="0" w:firstLineChars="0"/>
                    <w:jc w:val="center"/>
                    <w:rPr>
                      <w:rFonts w:cs="宋体"/>
                      <w:bCs/>
                      <w:szCs w:val="21"/>
                    </w:rPr>
                  </w:pPr>
                  <w:r>
                    <w:rPr>
                      <w:rFonts w:cs="宋体"/>
                      <w:bCs/>
                      <w:szCs w:val="21"/>
                      <w:lang w:bidi="ar"/>
                    </w:rPr>
                    <w:t>0.80~0.95</w:t>
                  </w:r>
                </w:p>
              </w:tc>
            </w:tr>
            <w:tr w14:paraId="5A87155C">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tcBorders>
                    <w:top w:val="nil"/>
                    <w:left w:val="nil"/>
                    <w:bottom w:val="single" w:color="auto" w:sz="4" w:space="0"/>
                    <w:right w:val="single" w:color="auto" w:sz="4" w:space="0"/>
                  </w:tcBorders>
                  <w:vAlign w:val="center"/>
                </w:tcPr>
                <w:p w14:paraId="4D252270">
                  <w:pPr>
                    <w:tabs>
                      <w:tab w:val="left" w:pos="0"/>
                    </w:tabs>
                    <w:ind w:firstLine="0" w:firstLineChars="0"/>
                    <w:jc w:val="center"/>
                    <w:rPr>
                      <w:rFonts w:cs="宋体"/>
                      <w:bCs/>
                      <w:szCs w:val="21"/>
                    </w:rPr>
                  </w:pPr>
                  <w:r>
                    <w:rPr>
                      <w:rFonts w:hint="eastAsia" w:cs="宋体"/>
                      <w:bCs/>
                      <w:szCs w:val="21"/>
                      <w:lang w:bidi="ar"/>
                    </w:rPr>
                    <w:t>道路</w:t>
                  </w:r>
                </w:p>
              </w:tc>
              <w:tc>
                <w:tcPr>
                  <w:tcW w:w="3268" w:type="pct"/>
                  <w:tcBorders>
                    <w:top w:val="single" w:color="auto" w:sz="4" w:space="0"/>
                    <w:left w:val="single" w:color="auto" w:sz="4" w:space="0"/>
                    <w:bottom w:val="single" w:color="auto" w:sz="4" w:space="0"/>
                    <w:right w:val="single" w:color="auto" w:sz="4" w:space="0"/>
                  </w:tcBorders>
                  <w:vAlign w:val="center"/>
                </w:tcPr>
                <w:p w14:paraId="54EA3BF3">
                  <w:pPr>
                    <w:tabs>
                      <w:tab w:val="left" w:pos="0"/>
                    </w:tabs>
                    <w:ind w:firstLine="0" w:firstLineChars="0"/>
                    <w:jc w:val="center"/>
                    <w:rPr>
                      <w:rFonts w:cs="宋体"/>
                      <w:bCs/>
                      <w:szCs w:val="21"/>
                    </w:rPr>
                  </w:pPr>
                  <w:r>
                    <w:rPr>
                      <w:rFonts w:hint="eastAsia" w:cs="宋体"/>
                      <w:bCs/>
                      <w:szCs w:val="21"/>
                      <w:lang w:bidi="ar"/>
                    </w:rPr>
                    <w:t>混凝土或沥青路面</w:t>
                  </w:r>
                </w:p>
              </w:tc>
              <w:tc>
                <w:tcPr>
                  <w:tcW w:w="1052" w:type="pct"/>
                  <w:tcBorders>
                    <w:top w:val="single" w:color="auto" w:sz="4" w:space="0"/>
                    <w:left w:val="single" w:color="auto" w:sz="4" w:space="0"/>
                    <w:bottom w:val="single" w:color="auto" w:sz="4" w:space="0"/>
                    <w:right w:val="nil"/>
                  </w:tcBorders>
                  <w:vAlign w:val="center"/>
                </w:tcPr>
                <w:p w14:paraId="15A418AA">
                  <w:pPr>
                    <w:tabs>
                      <w:tab w:val="left" w:pos="0"/>
                    </w:tabs>
                    <w:ind w:firstLine="0" w:firstLineChars="0"/>
                    <w:jc w:val="center"/>
                    <w:rPr>
                      <w:rFonts w:cs="宋体"/>
                      <w:bCs/>
                      <w:szCs w:val="21"/>
                    </w:rPr>
                  </w:pPr>
                  <w:r>
                    <w:rPr>
                      <w:rFonts w:cs="宋体"/>
                      <w:bCs/>
                      <w:szCs w:val="21"/>
                      <w:lang w:bidi="ar"/>
                    </w:rPr>
                    <w:t>0.80~0.95</w:t>
                  </w:r>
                </w:p>
              </w:tc>
            </w:tr>
            <w:tr w14:paraId="167B0429">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3B3B2740">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47622829">
                  <w:pPr>
                    <w:tabs>
                      <w:tab w:val="left" w:pos="0"/>
                    </w:tabs>
                    <w:ind w:firstLine="0" w:firstLineChars="0"/>
                    <w:jc w:val="center"/>
                    <w:rPr>
                      <w:rFonts w:cs="宋体"/>
                      <w:bCs/>
                      <w:szCs w:val="21"/>
                    </w:rPr>
                  </w:pPr>
                  <w:r>
                    <w:rPr>
                      <w:rFonts w:hint="eastAsia" w:cs="宋体"/>
                      <w:bCs/>
                      <w:szCs w:val="21"/>
                      <w:lang w:bidi="ar"/>
                    </w:rPr>
                    <w:t>石砌路面</w:t>
                  </w:r>
                </w:p>
              </w:tc>
              <w:tc>
                <w:tcPr>
                  <w:tcW w:w="1052" w:type="pct"/>
                  <w:tcBorders>
                    <w:top w:val="single" w:color="auto" w:sz="4" w:space="0"/>
                    <w:left w:val="single" w:color="auto" w:sz="4" w:space="0"/>
                    <w:bottom w:val="single" w:color="auto" w:sz="4" w:space="0"/>
                    <w:right w:val="nil"/>
                  </w:tcBorders>
                  <w:vAlign w:val="center"/>
                </w:tcPr>
                <w:p w14:paraId="4799273D">
                  <w:pPr>
                    <w:tabs>
                      <w:tab w:val="left" w:pos="0"/>
                    </w:tabs>
                    <w:ind w:firstLine="0" w:firstLineChars="0"/>
                    <w:jc w:val="center"/>
                    <w:rPr>
                      <w:rFonts w:cs="宋体"/>
                      <w:bCs/>
                      <w:szCs w:val="21"/>
                    </w:rPr>
                  </w:pPr>
                  <w:r>
                    <w:rPr>
                      <w:rFonts w:cs="宋体"/>
                      <w:bCs/>
                      <w:szCs w:val="21"/>
                      <w:lang w:bidi="ar"/>
                    </w:rPr>
                    <w:t>0.50~0.65</w:t>
                  </w:r>
                </w:p>
              </w:tc>
            </w:tr>
            <w:tr w14:paraId="7A7B9F79">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5159F776">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3651A850">
                  <w:pPr>
                    <w:tabs>
                      <w:tab w:val="left" w:pos="0"/>
                    </w:tabs>
                    <w:ind w:firstLine="0" w:firstLineChars="0"/>
                    <w:jc w:val="center"/>
                    <w:rPr>
                      <w:rFonts w:cs="宋体"/>
                      <w:bCs/>
                      <w:szCs w:val="21"/>
                    </w:rPr>
                  </w:pPr>
                  <w:r>
                    <w:rPr>
                      <w:rFonts w:hint="eastAsia" w:cs="宋体"/>
                      <w:bCs/>
                      <w:szCs w:val="21"/>
                      <w:lang w:bidi="ar"/>
                    </w:rPr>
                    <w:t>干砌砖石或碎石路面</w:t>
                  </w:r>
                </w:p>
              </w:tc>
              <w:tc>
                <w:tcPr>
                  <w:tcW w:w="1052" w:type="pct"/>
                  <w:tcBorders>
                    <w:top w:val="single" w:color="auto" w:sz="4" w:space="0"/>
                    <w:left w:val="single" w:color="auto" w:sz="4" w:space="0"/>
                    <w:bottom w:val="single" w:color="auto" w:sz="4" w:space="0"/>
                    <w:right w:val="nil"/>
                  </w:tcBorders>
                  <w:vAlign w:val="center"/>
                </w:tcPr>
                <w:p w14:paraId="40DB3CBD">
                  <w:pPr>
                    <w:tabs>
                      <w:tab w:val="left" w:pos="0"/>
                    </w:tabs>
                    <w:ind w:firstLine="0" w:firstLineChars="0"/>
                    <w:jc w:val="center"/>
                    <w:rPr>
                      <w:rFonts w:cs="宋体"/>
                      <w:bCs/>
                      <w:szCs w:val="21"/>
                    </w:rPr>
                  </w:pPr>
                  <w:r>
                    <w:rPr>
                      <w:rFonts w:cs="宋体"/>
                      <w:bCs/>
                      <w:szCs w:val="21"/>
                      <w:lang w:bidi="ar"/>
                    </w:rPr>
                    <w:t>0.35~0.40</w:t>
                  </w:r>
                </w:p>
              </w:tc>
            </w:tr>
            <w:tr w14:paraId="2C2CDDE1">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PrEx>
              <w:trPr>
                <w:jc w:val="center"/>
              </w:trPr>
              <w:tc>
                <w:tcPr>
                  <w:tcW w:w="680" w:type="pct"/>
                  <w:vMerge w:val="continue"/>
                  <w:tcBorders>
                    <w:top w:val="nil"/>
                    <w:left w:val="nil"/>
                    <w:bottom w:val="single" w:color="auto" w:sz="4" w:space="0"/>
                    <w:right w:val="single" w:color="auto" w:sz="4" w:space="0"/>
                  </w:tcBorders>
                  <w:vAlign w:val="center"/>
                </w:tcPr>
                <w:p w14:paraId="54ABB5F0">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68D7D739">
                  <w:pPr>
                    <w:tabs>
                      <w:tab w:val="left" w:pos="0"/>
                    </w:tabs>
                    <w:ind w:firstLine="0" w:firstLineChars="0"/>
                    <w:jc w:val="center"/>
                    <w:rPr>
                      <w:rFonts w:cs="宋体"/>
                      <w:bCs/>
                      <w:szCs w:val="21"/>
                    </w:rPr>
                  </w:pPr>
                  <w:r>
                    <w:rPr>
                      <w:rFonts w:hint="eastAsia" w:cs="宋体"/>
                      <w:bCs/>
                      <w:szCs w:val="21"/>
                      <w:lang w:bidi="ar"/>
                    </w:rPr>
                    <w:t>透水路面</w:t>
                  </w:r>
                </w:p>
              </w:tc>
              <w:tc>
                <w:tcPr>
                  <w:tcW w:w="1052" w:type="pct"/>
                  <w:tcBorders>
                    <w:top w:val="single" w:color="auto" w:sz="4" w:space="0"/>
                    <w:left w:val="single" w:color="auto" w:sz="4" w:space="0"/>
                    <w:bottom w:val="single" w:color="auto" w:sz="4" w:space="0"/>
                    <w:right w:val="nil"/>
                  </w:tcBorders>
                  <w:vAlign w:val="center"/>
                </w:tcPr>
                <w:p w14:paraId="5C369F10">
                  <w:pPr>
                    <w:tabs>
                      <w:tab w:val="left" w:pos="0"/>
                    </w:tabs>
                    <w:ind w:firstLine="0" w:firstLineChars="0"/>
                    <w:jc w:val="center"/>
                    <w:rPr>
                      <w:rFonts w:cs="宋体"/>
                      <w:bCs/>
                      <w:szCs w:val="21"/>
                    </w:rPr>
                  </w:pPr>
                  <w:r>
                    <w:rPr>
                      <w:rFonts w:cs="宋体"/>
                      <w:bCs/>
                      <w:szCs w:val="21"/>
                      <w:lang w:bidi="ar"/>
                    </w:rPr>
                    <w:t>0.30~0.45</w:t>
                  </w:r>
                </w:p>
              </w:tc>
            </w:tr>
            <w:tr w14:paraId="22CF0E41">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5AD17931">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3203C5B5">
                  <w:pPr>
                    <w:tabs>
                      <w:tab w:val="left" w:pos="0"/>
                    </w:tabs>
                    <w:ind w:firstLine="0" w:firstLineChars="0"/>
                    <w:jc w:val="center"/>
                    <w:rPr>
                      <w:rFonts w:cs="宋体"/>
                      <w:bCs/>
                      <w:szCs w:val="21"/>
                    </w:rPr>
                  </w:pPr>
                  <w:r>
                    <w:rPr>
                      <w:rFonts w:hint="eastAsia" w:cs="宋体"/>
                      <w:bCs/>
                      <w:szCs w:val="21"/>
                      <w:lang w:bidi="ar"/>
                    </w:rPr>
                    <w:t>非铺砌的土路面</w:t>
                  </w:r>
                </w:p>
              </w:tc>
              <w:tc>
                <w:tcPr>
                  <w:tcW w:w="1052" w:type="pct"/>
                  <w:tcBorders>
                    <w:top w:val="single" w:color="auto" w:sz="4" w:space="0"/>
                    <w:left w:val="single" w:color="auto" w:sz="4" w:space="0"/>
                    <w:bottom w:val="single" w:color="auto" w:sz="4" w:space="0"/>
                    <w:right w:val="nil"/>
                  </w:tcBorders>
                  <w:vAlign w:val="center"/>
                </w:tcPr>
                <w:p w14:paraId="3F66F367">
                  <w:pPr>
                    <w:tabs>
                      <w:tab w:val="left" w:pos="0"/>
                    </w:tabs>
                    <w:ind w:firstLine="0" w:firstLineChars="0"/>
                    <w:jc w:val="center"/>
                    <w:rPr>
                      <w:rFonts w:cs="宋体"/>
                      <w:bCs/>
                      <w:szCs w:val="21"/>
                    </w:rPr>
                  </w:pPr>
                  <w:r>
                    <w:rPr>
                      <w:rFonts w:cs="宋体"/>
                      <w:bCs/>
                      <w:szCs w:val="21"/>
                      <w:lang w:bidi="ar"/>
                    </w:rPr>
                    <w:t>0.25~0.30</w:t>
                  </w:r>
                </w:p>
              </w:tc>
            </w:tr>
            <w:tr w14:paraId="0036818C">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restart"/>
                  <w:tcBorders>
                    <w:top w:val="nil"/>
                    <w:left w:val="nil"/>
                    <w:bottom w:val="single" w:color="auto" w:sz="4" w:space="0"/>
                    <w:right w:val="single" w:color="auto" w:sz="4" w:space="0"/>
                  </w:tcBorders>
                  <w:vAlign w:val="center"/>
                </w:tcPr>
                <w:p w14:paraId="1E6B7759">
                  <w:pPr>
                    <w:tabs>
                      <w:tab w:val="left" w:pos="0"/>
                    </w:tabs>
                    <w:ind w:firstLine="0" w:firstLineChars="0"/>
                    <w:jc w:val="center"/>
                    <w:rPr>
                      <w:rFonts w:cs="宋体"/>
                      <w:bCs/>
                      <w:szCs w:val="21"/>
                    </w:rPr>
                  </w:pPr>
                  <w:r>
                    <w:rPr>
                      <w:rFonts w:hint="eastAsia" w:cs="宋体"/>
                      <w:bCs/>
                      <w:szCs w:val="21"/>
                      <w:lang w:bidi="ar"/>
                    </w:rPr>
                    <w:t>绿地</w:t>
                  </w:r>
                </w:p>
              </w:tc>
              <w:tc>
                <w:tcPr>
                  <w:tcW w:w="3268" w:type="pct"/>
                  <w:tcBorders>
                    <w:top w:val="single" w:color="auto" w:sz="4" w:space="0"/>
                    <w:left w:val="single" w:color="auto" w:sz="4" w:space="0"/>
                    <w:bottom w:val="single" w:color="auto" w:sz="4" w:space="0"/>
                    <w:right w:val="single" w:color="auto" w:sz="4" w:space="0"/>
                  </w:tcBorders>
                  <w:vAlign w:val="center"/>
                </w:tcPr>
                <w:p w14:paraId="4CD7DCEB">
                  <w:pPr>
                    <w:tabs>
                      <w:tab w:val="left" w:pos="0"/>
                    </w:tabs>
                    <w:ind w:firstLine="0" w:firstLineChars="0"/>
                    <w:jc w:val="center"/>
                    <w:rPr>
                      <w:rFonts w:cs="宋体"/>
                      <w:bCs/>
                      <w:szCs w:val="21"/>
                    </w:rPr>
                  </w:pPr>
                  <w:r>
                    <w:rPr>
                      <w:rFonts w:hint="eastAsia" w:cs="宋体"/>
                      <w:bCs/>
                      <w:szCs w:val="21"/>
                      <w:lang w:bidi="ar"/>
                    </w:rPr>
                    <w:t>实土型绿地或覆土≥</w:t>
                  </w:r>
                  <w:r>
                    <w:rPr>
                      <w:rFonts w:cs="Times New Roman"/>
                      <w:bCs/>
                      <w:szCs w:val="21"/>
                      <w:lang w:bidi="ar"/>
                    </w:rPr>
                    <w:t>500mm</w:t>
                  </w:r>
                  <w:r>
                    <w:rPr>
                      <w:rFonts w:hint="eastAsia" w:cs="宋体"/>
                      <w:bCs/>
                      <w:szCs w:val="21"/>
                      <w:lang w:bidi="ar"/>
                    </w:rPr>
                    <w:t>的绿地</w:t>
                  </w:r>
                </w:p>
              </w:tc>
              <w:tc>
                <w:tcPr>
                  <w:tcW w:w="1052" w:type="pct"/>
                  <w:tcBorders>
                    <w:top w:val="single" w:color="auto" w:sz="4" w:space="0"/>
                    <w:left w:val="single" w:color="auto" w:sz="4" w:space="0"/>
                    <w:bottom w:val="single" w:color="auto" w:sz="4" w:space="0"/>
                    <w:right w:val="nil"/>
                  </w:tcBorders>
                  <w:vAlign w:val="center"/>
                </w:tcPr>
                <w:p w14:paraId="5A9577BF">
                  <w:pPr>
                    <w:tabs>
                      <w:tab w:val="left" w:pos="0"/>
                    </w:tabs>
                    <w:ind w:firstLine="0" w:firstLineChars="0"/>
                    <w:jc w:val="center"/>
                    <w:rPr>
                      <w:rFonts w:cs="宋体"/>
                      <w:bCs/>
                      <w:szCs w:val="21"/>
                    </w:rPr>
                  </w:pPr>
                  <w:r>
                    <w:rPr>
                      <w:rFonts w:cs="宋体"/>
                      <w:bCs/>
                      <w:szCs w:val="21"/>
                      <w:lang w:bidi="ar"/>
                    </w:rPr>
                    <w:t>0.</w:t>
                  </w:r>
                  <w:r>
                    <w:rPr>
                      <w:rFonts w:cs="Times New Roman"/>
                      <w:bCs/>
                      <w:szCs w:val="21"/>
                      <w:lang w:bidi="ar"/>
                    </w:rPr>
                    <w:t>10</w:t>
                  </w:r>
                  <w:r>
                    <w:rPr>
                      <w:rFonts w:cs="宋体"/>
                      <w:bCs/>
                      <w:szCs w:val="21"/>
                      <w:lang w:bidi="ar"/>
                    </w:rPr>
                    <w:t>~0.</w:t>
                  </w:r>
                  <w:r>
                    <w:rPr>
                      <w:rFonts w:cs="Times New Roman"/>
                      <w:bCs/>
                      <w:szCs w:val="21"/>
                      <w:lang w:bidi="ar"/>
                    </w:rPr>
                    <w:t>2</w:t>
                  </w:r>
                  <w:r>
                    <w:rPr>
                      <w:rFonts w:cs="宋体"/>
                      <w:bCs/>
                      <w:szCs w:val="21"/>
                      <w:lang w:bidi="ar"/>
                    </w:rPr>
                    <w:t>0</w:t>
                  </w:r>
                </w:p>
              </w:tc>
            </w:tr>
            <w:tr w14:paraId="1C44C3D3">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vMerge w:val="continue"/>
                  <w:tcBorders>
                    <w:top w:val="nil"/>
                    <w:left w:val="nil"/>
                    <w:bottom w:val="single" w:color="auto" w:sz="4" w:space="0"/>
                    <w:right w:val="single" w:color="auto" w:sz="4" w:space="0"/>
                  </w:tcBorders>
                  <w:vAlign w:val="center"/>
                </w:tcPr>
                <w:p w14:paraId="54B4D7DA">
                  <w:pPr>
                    <w:ind w:firstLine="400"/>
                    <w:rPr>
                      <w:rFonts w:cs="Times New Roman"/>
                      <w:sz w:val="20"/>
                      <w:szCs w:val="20"/>
                    </w:rPr>
                  </w:pPr>
                </w:p>
              </w:tc>
              <w:tc>
                <w:tcPr>
                  <w:tcW w:w="3268" w:type="pct"/>
                  <w:tcBorders>
                    <w:top w:val="single" w:color="auto" w:sz="4" w:space="0"/>
                    <w:left w:val="single" w:color="auto" w:sz="4" w:space="0"/>
                    <w:bottom w:val="single" w:color="auto" w:sz="4" w:space="0"/>
                    <w:right w:val="single" w:color="auto" w:sz="4" w:space="0"/>
                  </w:tcBorders>
                  <w:vAlign w:val="center"/>
                </w:tcPr>
                <w:p w14:paraId="4C86756A">
                  <w:pPr>
                    <w:tabs>
                      <w:tab w:val="left" w:pos="0"/>
                    </w:tabs>
                    <w:ind w:firstLine="0" w:firstLineChars="0"/>
                    <w:jc w:val="center"/>
                    <w:rPr>
                      <w:rFonts w:cs="宋体"/>
                      <w:bCs/>
                      <w:szCs w:val="21"/>
                    </w:rPr>
                  </w:pPr>
                  <w:r>
                    <w:rPr>
                      <w:rFonts w:hint="eastAsia" w:cs="宋体"/>
                      <w:bCs/>
                      <w:szCs w:val="21"/>
                      <w:lang w:bidi="ar"/>
                    </w:rPr>
                    <w:t>地下室覆土绿地</w:t>
                  </w:r>
                  <w:r>
                    <w:rPr>
                      <w:rFonts w:cs="Times New Roman"/>
                      <w:bCs/>
                      <w:szCs w:val="21"/>
                      <w:lang w:bidi="ar"/>
                    </w:rPr>
                    <w:t>(</w:t>
                  </w:r>
                  <w:r>
                    <w:rPr>
                      <w:rFonts w:hint="eastAsia" w:cs="宋体"/>
                      <w:bCs/>
                      <w:szCs w:val="21"/>
                      <w:lang w:bidi="ar"/>
                    </w:rPr>
                    <w:t>≥</w:t>
                  </w:r>
                  <w:r>
                    <w:rPr>
                      <w:rFonts w:cs="Times New Roman"/>
                      <w:bCs/>
                      <w:szCs w:val="21"/>
                      <w:lang w:bidi="ar"/>
                    </w:rPr>
                    <w:t>300mm</w:t>
                  </w:r>
                  <w:r>
                    <w:rPr>
                      <w:rFonts w:hint="eastAsia" w:cs="宋体"/>
                      <w:bCs/>
                      <w:szCs w:val="21"/>
                      <w:lang w:bidi="ar"/>
                    </w:rPr>
                    <w:t>，</w:t>
                  </w:r>
                  <w:r>
                    <w:rPr>
                      <w:rFonts w:cs="Times New Roman"/>
                      <w:bCs/>
                      <w:szCs w:val="21"/>
                      <w:lang w:bidi="ar"/>
                    </w:rPr>
                    <w:t>&lt;500mm)</w:t>
                  </w:r>
                </w:p>
              </w:tc>
              <w:tc>
                <w:tcPr>
                  <w:tcW w:w="1052" w:type="pct"/>
                  <w:tcBorders>
                    <w:top w:val="single" w:color="auto" w:sz="4" w:space="0"/>
                    <w:left w:val="single" w:color="auto" w:sz="4" w:space="0"/>
                    <w:bottom w:val="single" w:color="auto" w:sz="4" w:space="0"/>
                    <w:right w:val="nil"/>
                  </w:tcBorders>
                  <w:vAlign w:val="center"/>
                </w:tcPr>
                <w:p w14:paraId="6318776E">
                  <w:pPr>
                    <w:tabs>
                      <w:tab w:val="left" w:pos="0"/>
                    </w:tabs>
                    <w:ind w:firstLine="0" w:firstLineChars="0"/>
                    <w:jc w:val="center"/>
                    <w:rPr>
                      <w:rFonts w:cs="宋体"/>
                      <w:bCs/>
                      <w:szCs w:val="21"/>
                    </w:rPr>
                  </w:pPr>
                  <w:r>
                    <w:rPr>
                      <w:rFonts w:cs="宋体"/>
                      <w:bCs/>
                      <w:szCs w:val="21"/>
                      <w:lang w:bidi="ar"/>
                    </w:rPr>
                    <w:t>0.</w:t>
                  </w:r>
                  <w:r>
                    <w:rPr>
                      <w:rFonts w:cs="Times New Roman"/>
                      <w:bCs/>
                      <w:szCs w:val="21"/>
                      <w:lang w:bidi="ar"/>
                    </w:rPr>
                    <w:t>30</w:t>
                  </w:r>
                  <w:r>
                    <w:rPr>
                      <w:rFonts w:cs="宋体"/>
                      <w:bCs/>
                      <w:szCs w:val="21"/>
                      <w:lang w:bidi="ar"/>
                    </w:rPr>
                    <w:t>~0.</w:t>
                  </w:r>
                  <w:r>
                    <w:rPr>
                      <w:rFonts w:cs="Times New Roman"/>
                      <w:bCs/>
                      <w:szCs w:val="21"/>
                      <w:lang w:bidi="ar"/>
                    </w:rPr>
                    <w:t>4</w:t>
                  </w:r>
                  <w:r>
                    <w:rPr>
                      <w:rFonts w:cs="宋体"/>
                      <w:bCs/>
                      <w:szCs w:val="21"/>
                      <w:lang w:bidi="ar"/>
                    </w:rPr>
                    <w:t>0</w:t>
                  </w:r>
                </w:p>
              </w:tc>
            </w:tr>
            <w:tr w14:paraId="1F95F5D6">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8" w:type="pct"/>
                  <w:gridSpan w:val="2"/>
                  <w:tcBorders>
                    <w:top w:val="single" w:color="auto" w:sz="4" w:space="0"/>
                    <w:left w:val="nil"/>
                    <w:bottom w:val="single" w:color="auto" w:sz="4" w:space="0"/>
                    <w:right w:val="single" w:color="auto" w:sz="4" w:space="0"/>
                  </w:tcBorders>
                  <w:vAlign w:val="center"/>
                </w:tcPr>
                <w:p w14:paraId="29C0F70F">
                  <w:pPr>
                    <w:tabs>
                      <w:tab w:val="left" w:pos="0"/>
                    </w:tabs>
                    <w:ind w:firstLine="0" w:firstLineChars="0"/>
                    <w:jc w:val="center"/>
                    <w:rPr>
                      <w:rFonts w:cs="宋体"/>
                      <w:bCs/>
                      <w:szCs w:val="21"/>
                    </w:rPr>
                  </w:pPr>
                  <w:r>
                    <w:rPr>
                      <w:rFonts w:hint="eastAsia" w:cs="宋体"/>
                      <w:bCs/>
                      <w:szCs w:val="21"/>
                      <w:lang w:bidi="ar"/>
                    </w:rPr>
                    <w:t>广场</w:t>
                  </w:r>
                </w:p>
              </w:tc>
              <w:tc>
                <w:tcPr>
                  <w:tcW w:w="1052" w:type="pct"/>
                  <w:tcBorders>
                    <w:top w:val="single" w:color="auto" w:sz="4" w:space="0"/>
                    <w:left w:val="single" w:color="auto" w:sz="4" w:space="0"/>
                    <w:bottom w:val="single" w:color="auto" w:sz="4" w:space="0"/>
                    <w:right w:val="nil"/>
                  </w:tcBorders>
                  <w:vAlign w:val="center"/>
                </w:tcPr>
                <w:p w14:paraId="267EC830">
                  <w:pPr>
                    <w:tabs>
                      <w:tab w:val="left" w:pos="0"/>
                    </w:tabs>
                    <w:ind w:firstLine="0" w:firstLineChars="0"/>
                    <w:jc w:val="center"/>
                    <w:rPr>
                      <w:rFonts w:cs="宋体"/>
                      <w:bCs/>
                      <w:szCs w:val="21"/>
                    </w:rPr>
                  </w:pPr>
                  <w:r>
                    <w:rPr>
                      <w:rFonts w:cs="宋体"/>
                      <w:bCs/>
                      <w:szCs w:val="21"/>
                      <w:lang w:bidi="ar"/>
                    </w:rPr>
                    <w:t>0.50~0.65</w:t>
                  </w:r>
                </w:p>
              </w:tc>
            </w:tr>
            <w:tr w14:paraId="2D791EFE">
              <w:tblPrEx>
                <w:tblBorders>
                  <w:top w:val="single" w:color="auto" w:sz="4" w:space="0"/>
                  <w:left w:val="none" w:color="auto" w:sz="4" w:space="0"/>
                  <w:bottom w:val="singl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8" w:type="pct"/>
                  <w:gridSpan w:val="2"/>
                  <w:tcBorders>
                    <w:top w:val="single" w:color="auto" w:sz="4" w:space="0"/>
                    <w:left w:val="nil"/>
                    <w:bottom w:val="single" w:color="auto" w:sz="4" w:space="0"/>
                    <w:right w:val="single" w:color="auto" w:sz="4" w:space="0"/>
                  </w:tcBorders>
                  <w:vAlign w:val="center"/>
                </w:tcPr>
                <w:p w14:paraId="4BE7040F">
                  <w:pPr>
                    <w:tabs>
                      <w:tab w:val="left" w:pos="0"/>
                    </w:tabs>
                    <w:ind w:firstLine="0" w:firstLineChars="0"/>
                    <w:jc w:val="center"/>
                    <w:rPr>
                      <w:rFonts w:cs="宋体"/>
                      <w:bCs/>
                      <w:szCs w:val="21"/>
                    </w:rPr>
                  </w:pPr>
                  <w:r>
                    <w:rPr>
                      <w:rFonts w:hint="eastAsia" w:cs="宋体"/>
                      <w:bCs/>
                      <w:szCs w:val="21"/>
                      <w:lang w:bidi="ar"/>
                    </w:rPr>
                    <w:t>水面</w:t>
                  </w:r>
                </w:p>
              </w:tc>
              <w:tc>
                <w:tcPr>
                  <w:tcW w:w="1052" w:type="pct"/>
                  <w:tcBorders>
                    <w:top w:val="single" w:color="auto" w:sz="4" w:space="0"/>
                    <w:left w:val="single" w:color="auto" w:sz="4" w:space="0"/>
                    <w:bottom w:val="single" w:color="auto" w:sz="4" w:space="0"/>
                    <w:right w:val="nil"/>
                  </w:tcBorders>
                  <w:vAlign w:val="center"/>
                </w:tcPr>
                <w:p w14:paraId="56529E67">
                  <w:pPr>
                    <w:tabs>
                      <w:tab w:val="left" w:pos="0"/>
                    </w:tabs>
                    <w:ind w:firstLine="0" w:firstLineChars="0"/>
                    <w:jc w:val="center"/>
                    <w:rPr>
                      <w:rFonts w:cs="宋体"/>
                      <w:bCs/>
                      <w:szCs w:val="21"/>
                    </w:rPr>
                  </w:pPr>
                  <w:r>
                    <w:rPr>
                      <w:rFonts w:cs="Times New Roman"/>
                      <w:bCs/>
                      <w:szCs w:val="21"/>
                      <w:lang w:bidi="ar"/>
                    </w:rPr>
                    <w:t>1</w:t>
                  </w:r>
                </w:p>
              </w:tc>
            </w:tr>
          </w:tbl>
          <w:p w14:paraId="4B838567">
            <w:pPr>
              <w:pStyle w:val="20"/>
              <w:tabs>
                <w:tab w:val="left" w:pos="0"/>
              </w:tabs>
              <w:ind w:firstLine="0" w:firstLineChars="0"/>
              <w:rPr>
                <w:rFonts w:cs="Times New Roman"/>
                <w:sz w:val="21"/>
                <w:szCs w:val="21"/>
                <w:lang w:bidi="ar"/>
              </w:rPr>
            </w:pPr>
            <w:r>
              <w:rPr>
                <w:rFonts w:hint="eastAsia"/>
                <w:b/>
                <w:bCs/>
                <w:i/>
                <w:iCs/>
                <w:sz w:val="21"/>
                <w:szCs w:val="21"/>
              </w:rPr>
              <w:t>审查说明：在进行年径流总量控制率对应的调蓄量计算时，下垫面径流系数取值应采用雨量径流系数，不应采用管道计算常用的流量径流系数或水利计算上使用的径流系数。</w:t>
            </w:r>
          </w:p>
          <w:p w14:paraId="0656142B">
            <w:pPr>
              <w:pStyle w:val="20"/>
              <w:tabs>
                <w:tab w:val="left" w:pos="0"/>
              </w:tabs>
              <w:ind w:firstLine="0" w:firstLineChars="0"/>
              <w:rPr>
                <w:rFonts w:cs="Times New Roman"/>
                <w:sz w:val="21"/>
                <w:szCs w:val="21"/>
                <w:lang w:bidi="ar"/>
              </w:rPr>
            </w:pPr>
          </w:p>
          <w:p w14:paraId="25FCD87E">
            <w:pPr>
              <w:pStyle w:val="20"/>
              <w:tabs>
                <w:tab w:val="left" w:pos="0"/>
              </w:tabs>
              <w:ind w:firstLine="0" w:firstLineChars="0"/>
              <w:rPr>
                <w:rFonts w:cs="Times New Roman"/>
                <w:sz w:val="21"/>
                <w:szCs w:val="21"/>
              </w:rPr>
            </w:pPr>
            <w:r>
              <w:rPr>
                <w:rFonts w:cs="Times New Roman"/>
                <w:sz w:val="21"/>
                <w:szCs w:val="21"/>
                <w:lang w:bidi="ar"/>
              </w:rPr>
              <w:t xml:space="preserve">6.2.3 </w:t>
            </w:r>
            <w:r>
              <w:rPr>
                <w:rFonts w:hint="eastAsia" w:cs="宋体"/>
                <w:sz w:val="21"/>
                <w:szCs w:val="21"/>
                <w:lang w:bidi="ar"/>
              </w:rPr>
              <w:t>年径流总量控制率对应的调蓄量应符合下列规定：</w:t>
            </w:r>
          </w:p>
          <w:p w14:paraId="5BD4E804">
            <w:pPr>
              <w:pStyle w:val="20"/>
              <w:tabs>
                <w:tab w:val="left" w:pos="0"/>
              </w:tabs>
              <w:ind w:firstLine="420"/>
              <w:rPr>
                <w:rFonts w:cs="宋体"/>
                <w:sz w:val="21"/>
                <w:szCs w:val="21"/>
                <w:lang w:bidi="ar"/>
              </w:rPr>
            </w:pPr>
            <w:r>
              <w:rPr>
                <w:rFonts w:cs="Times New Roman"/>
                <w:sz w:val="21"/>
                <w:szCs w:val="21"/>
                <w:lang w:bidi="ar"/>
              </w:rPr>
              <w:t xml:space="preserve">1 </w:t>
            </w:r>
            <w:r>
              <w:rPr>
                <w:rFonts w:hint="eastAsia" w:cs="宋体"/>
                <w:sz w:val="21"/>
                <w:szCs w:val="21"/>
                <w:lang w:bidi="ar"/>
              </w:rPr>
              <w:t>建设项目的调蓄量应为项目内各源头减排设施的设计调蓄量之和，各设施的调蓄量应与其汇水面积对应。</w:t>
            </w:r>
          </w:p>
          <w:p w14:paraId="05602F25">
            <w:pPr>
              <w:pStyle w:val="35"/>
              <w:tabs>
                <w:tab w:val="left" w:pos="0"/>
              </w:tabs>
              <w:ind w:firstLine="420" w:firstLineChars="200"/>
            </w:pPr>
            <w:r>
              <w:rPr>
                <w:rFonts w:hint="eastAsia"/>
              </w:rPr>
              <w:t>2 源头减排设施设计调蓄量应为顶部蓄水空间和排水层蓄水空间之和。</w:t>
            </w:r>
          </w:p>
          <w:p w14:paraId="15468050">
            <w:pPr>
              <w:pStyle w:val="35"/>
              <w:tabs>
                <w:tab w:val="left" w:pos="0"/>
              </w:tabs>
              <w:ind w:firstLine="420" w:firstLineChars="200"/>
            </w:pPr>
            <w:r>
              <w:rPr>
                <w:rFonts w:hint="eastAsia"/>
              </w:rPr>
              <w:t>3 绿色屋顶、透水铺装、转输型植草沟、明沟、初期雨水弃流等对径流总量削减贡献较小的设施，其设计调蓄容积不计入总调蓄量。</w:t>
            </w:r>
          </w:p>
          <w:p w14:paraId="23EE4B2D">
            <w:pPr>
              <w:pStyle w:val="35"/>
              <w:tabs>
                <w:tab w:val="left" w:pos="0"/>
              </w:tabs>
              <w:rPr>
                <w:b/>
                <w:bCs/>
                <w:i/>
                <w:iCs/>
              </w:rPr>
            </w:pPr>
            <w:r>
              <w:rPr>
                <w:rFonts w:hint="eastAsia"/>
                <w:b/>
                <w:bCs/>
                <w:i/>
                <w:iCs/>
              </w:rPr>
              <w:t>审查说明：海绵设施规模由其汇水范围内可以有效收集到的水量确定，海绵设施调蓄量应与该设施对应汇水范围在设计降雨量下的汇水量相匹配，受竖向条件、汇水范围等影响，实际调蓄容积小于其设计值的设施（如较大面积的</w:t>
            </w:r>
            <w:r>
              <w:rPr>
                <w:rFonts w:hint="eastAsia"/>
                <w:b/>
                <w:bCs/>
                <w:i/>
                <w:iCs/>
                <w:lang w:val="en-US" w:eastAsia="zh-CN"/>
              </w:rPr>
              <w:t>下凹</w:t>
            </w:r>
            <w:r>
              <w:rPr>
                <w:rFonts w:hint="eastAsia"/>
                <w:b/>
                <w:bCs/>
                <w:i/>
                <w:iCs/>
              </w:rPr>
              <w:t>式绿地，往往受坡度和汇水面竖向条件限制，实际调蓄容积远远小于其设计调蓄容积），按实际调蓄容积计入总调蓄容积；无法有效收集汇水面径流雨水的设施不计入总调蓄容积。</w:t>
            </w:r>
          </w:p>
          <w:p w14:paraId="6D30E7CF">
            <w:pPr>
              <w:pStyle w:val="35"/>
              <w:tabs>
                <w:tab w:val="left" w:pos="0"/>
              </w:tabs>
              <w:ind w:firstLine="422" w:firstLineChars="200"/>
              <w:rPr>
                <w:b/>
                <w:bCs/>
                <w:i/>
                <w:iCs/>
              </w:rPr>
            </w:pPr>
            <w:r>
              <w:rPr>
                <w:rFonts w:hint="eastAsia"/>
                <w:b/>
                <w:bCs/>
                <w:i/>
                <w:iCs/>
              </w:rPr>
              <w:t>下列具有蓄水空间的渗透设施可计入总调蓄容积：雨水花园、生态树池、生物滞留设施、下凹式绿地、渗透塘、湿塘、雨水回用调蓄池、干式植草沟</w:t>
            </w:r>
            <w:r>
              <w:rPr>
                <w:rFonts w:hint="eastAsia"/>
                <w:b/>
                <w:bCs/>
                <w:i/>
                <w:iCs/>
                <w:lang w:eastAsia="zh-CN"/>
              </w:rPr>
              <w:t>（</w:t>
            </w:r>
            <w:r>
              <w:rPr>
                <w:rFonts w:hint="eastAsia"/>
                <w:b/>
                <w:bCs/>
                <w:i/>
                <w:iCs/>
              </w:rPr>
              <w:t>不起转输作用时</w:t>
            </w:r>
            <w:r>
              <w:rPr>
                <w:rFonts w:hint="eastAsia"/>
                <w:b/>
                <w:bCs/>
                <w:i/>
                <w:iCs/>
                <w:lang w:eastAsia="zh-CN"/>
              </w:rPr>
              <w:t>）</w:t>
            </w:r>
            <w:r>
              <w:rPr>
                <w:rFonts w:hint="eastAsia"/>
                <w:b/>
                <w:bCs/>
                <w:i/>
                <w:iCs/>
              </w:rPr>
              <w:t>、旱溪等。</w:t>
            </w:r>
          </w:p>
          <w:p w14:paraId="6F267FF2">
            <w:pPr>
              <w:pStyle w:val="35"/>
              <w:tabs>
                <w:tab w:val="left" w:pos="0"/>
              </w:tabs>
              <w:ind w:firstLine="422" w:firstLineChars="200"/>
              <w:rPr>
                <w:b/>
                <w:bCs/>
                <w:i/>
                <w:iCs/>
              </w:rPr>
            </w:pPr>
            <w:r>
              <w:rPr>
                <w:rFonts w:hint="eastAsia"/>
                <w:b/>
                <w:bCs/>
                <w:i/>
                <w:iCs/>
              </w:rPr>
              <w:t>下列设施不应计入总调蓄容积：转输型植草沟、渗管/渠、初期雨水弃流、植被缓冲带、人工土壤渗滤。透水铺装仅参与综合雨量径流系数的计算，不计入总调蓄容积。</w:t>
            </w:r>
          </w:p>
          <w:p w14:paraId="2E71EB45">
            <w:pPr>
              <w:pStyle w:val="20"/>
              <w:tabs>
                <w:tab w:val="left" w:pos="0"/>
              </w:tabs>
              <w:ind w:firstLine="0" w:firstLineChars="0"/>
              <w:rPr>
                <w:rFonts w:cs="Times New Roman"/>
                <w:b/>
                <w:bCs/>
                <w:i/>
                <w:iCs/>
                <w:sz w:val="21"/>
                <w:szCs w:val="21"/>
              </w:rPr>
            </w:pPr>
          </w:p>
          <w:p w14:paraId="12F993C9">
            <w:pPr>
              <w:pStyle w:val="35"/>
              <w:tabs>
                <w:tab w:val="left" w:pos="0"/>
              </w:tabs>
              <w:rPr>
                <w:b/>
                <w:bCs/>
                <w:i/>
                <w:iCs/>
              </w:rPr>
            </w:pPr>
            <w:r>
              <w:rPr>
                <w:rFonts w:hint="eastAsia"/>
                <w:b/>
                <w:bCs/>
              </w:rPr>
              <w:t>《海绵城市建设评价标准》GB/T 51345-2018</w:t>
            </w:r>
          </w:p>
          <w:p w14:paraId="6CE25654">
            <w:pPr>
              <w:ind w:firstLine="0" w:firstLineChars="0"/>
              <w:rPr>
                <w:szCs w:val="21"/>
              </w:rPr>
            </w:pPr>
            <w:r>
              <w:rPr>
                <w:rFonts w:hint="eastAsia"/>
                <w:szCs w:val="21"/>
              </w:rPr>
              <w:t>5.1.2 设施径流体积控制规模核算应符合下列规定：</w:t>
            </w:r>
          </w:p>
          <w:p w14:paraId="4741DAA2">
            <w:pPr>
              <w:ind w:firstLine="420"/>
              <w:rPr>
                <w:szCs w:val="21"/>
              </w:rPr>
            </w:pPr>
            <w:r>
              <w:rPr>
                <w:rFonts w:hint="eastAsia"/>
                <w:szCs w:val="21"/>
              </w:rPr>
              <w:t>2 渗透、渗滤及滞蓄设施的径流体积控制规模应按下列公式计算：</w:t>
            </w:r>
          </w:p>
          <w:p w14:paraId="7C99E19A">
            <w:pPr>
              <w:ind w:firstLine="420"/>
              <w:jc w:val="center"/>
              <w:rPr>
                <w:szCs w:val="21"/>
              </w:rPr>
            </w:pPr>
            <m:oMathPara>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m:oMathPara>
          </w:p>
          <w:p w14:paraId="297B564E">
            <w:pPr>
              <w:ind w:firstLine="420"/>
              <w:jc w:val="center"/>
              <w:rPr>
                <w:szCs w:val="21"/>
              </w:rPr>
            </w:pPr>
            <m:oMathPara>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r>
                  <m:rPr/>
                  <w:rPr>
                    <w:rFonts w:ascii="Cambria Math" w:hAnsi="Cambria Math"/>
                    <w:szCs w:val="21"/>
                  </w:rPr>
                  <m:t>=</m:t>
                </m:r>
                <m:r>
                  <m:rPr>
                    <m:sty m:val="p"/>
                  </m:rPr>
                  <w:rPr>
                    <w:rFonts w:ascii="Cambria Math" w:hAnsi="Cambria Math"/>
                    <w:szCs w:val="21"/>
                  </w:rPr>
                  <m:t>KJA</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m:oMathPara>
          </w:p>
          <w:p w14:paraId="35DDB8B2">
            <w:pPr>
              <w:ind w:firstLine="0" w:firstLineChars="0"/>
              <w:rPr>
                <w:bCs/>
                <w:szCs w:val="21"/>
              </w:rPr>
            </w:pPr>
            <w:r>
              <w:rPr>
                <w:rFonts w:hint="eastAsia"/>
                <w:bCs/>
                <w:szCs w:val="21"/>
              </w:rPr>
              <w:t>式中：</w:t>
            </w: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w:r>
              <w:rPr>
                <w:rFonts w:hint="eastAsia"/>
                <w:bCs/>
                <w:szCs w:val="21"/>
              </w:rPr>
              <w:t>——</w:t>
            </w:r>
            <w:r>
              <w:rPr>
                <w:rFonts w:hint="eastAsia"/>
                <w:szCs w:val="21"/>
              </w:rPr>
              <w:t>渗透、渗滤及滞蓄设施的径流体积控制规模</w:t>
            </w:r>
            <w:r>
              <w:rPr>
                <w:rFonts w:hint="eastAsia"/>
                <w:bCs/>
                <w:szCs w:val="21"/>
              </w:rPr>
              <w:t>（m</w:t>
            </w:r>
            <w:r>
              <w:rPr>
                <w:bCs/>
                <w:szCs w:val="21"/>
                <w:vertAlign w:val="superscript"/>
              </w:rPr>
              <w:t>3</w:t>
            </w:r>
            <w:r>
              <w:rPr>
                <w:rFonts w:hint="eastAsia"/>
                <w:bCs/>
                <w:szCs w:val="21"/>
              </w:rPr>
              <w:t>）；</w:t>
            </w:r>
          </w:p>
          <w:p w14:paraId="17FC27F0">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w:r>
              <w:rPr>
                <w:rFonts w:hint="eastAsia"/>
                <w:bCs/>
                <w:szCs w:val="21"/>
              </w:rPr>
              <w:t>——设施有效滞蓄容积（m</w:t>
            </w:r>
            <w:r>
              <w:rPr>
                <w:bCs/>
                <w:szCs w:val="21"/>
                <w:vertAlign w:val="superscript"/>
              </w:rPr>
              <w:t>3</w:t>
            </w:r>
            <w:r>
              <w:rPr>
                <w:rFonts w:hint="eastAsia"/>
                <w:bCs/>
                <w:szCs w:val="21"/>
              </w:rPr>
              <w:t>）；</w:t>
            </w:r>
          </w:p>
          <w:p w14:paraId="7E96B7D7">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in</m:t>
                  </m:r>
                  <m:ctrlPr>
                    <w:rPr>
                      <w:rFonts w:ascii="Cambria Math" w:hAnsi="Cambria Math"/>
                      <w:i/>
                      <w:szCs w:val="21"/>
                    </w:rPr>
                  </m:ctrlPr>
                </m:sub>
              </m:sSub>
            </m:oMath>
            <w:r>
              <w:rPr>
                <w:rFonts w:hint="eastAsia"/>
                <w:bCs/>
                <w:szCs w:val="21"/>
              </w:rPr>
              <w:t>——渗透与渗滤设施降雨过程中的入渗量（m</w:t>
            </w:r>
            <w:r>
              <w:rPr>
                <w:bCs/>
                <w:szCs w:val="21"/>
                <w:vertAlign w:val="superscript"/>
              </w:rPr>
              <w:t>3</w:t>
            </w:r>
            <w:r>
              <w:rPr>
                <w:rFonts w:hint="eastAsia"/>
                <w:bCs/>
                <w:szCs w:val="21"/>
              </w:rPr>
              <w:t>）；</w:t>
            </w:r>
          </w:p>
          <w:p w14:paraId="041DB683">
            <w:pPr>
              <w:ind w:left="630" w:leftChars="300" w:firstLine="0" w:firstLineChars="0"/>
              <w:rPr>
                <w:bCs/>
                <w:szCs w:val="21"/>
              </w:rPr>
            </w:pPr>
            <m:oMath>
              <m:r>
                <m:rPr/>
                <w:rPr>
                  <w:rFonts w:ascii="Cambria Math" w:hAnsi="Cambria Math"/>
                  <w:szCs w:val="21"/>
                </w:rPr>
                <m:t>K</m:t>
              </m:r>
            </m:oMath>
            <w:r>
              <w:rPr>
                <w:rFonts w:hint="eastAsia"/>
                <w:bCs/>
                <w:szCs w:val="21"/>
              </w:rPr>
              <w:t>——土壤或人工介质的饱和渗透系数（m/h）；根据设施滞蓄空间的有效蓄水深度和设计排空时间计算确定，由土壤类型或人工介质构成决定，不同类型土壤的渗透系数可按现行国家标准《建筑与小区雨水控制及利用工程技术规范》GB50400的规定取值；</w:t>
            </w:r>
          </w:p>
          <w:p w14:paraId="2B68DC19">
            <w:pPr>
              <w:ind w:left="630" w:leftChars="300" w:firstLine="0" w:firstLineChars="0"/>
              <w:rPr>
                <w:szCs w:val="21"/>
              </w:rPr>
            </w:pPr>
            <m:oMath>
              <m:r>
                <m:rPr/>
                <w:rPr>
                  <w:rFonts w:ascii="Cambria Math" w:hAnsi="Cambria Math"/>
                  <w:szCs w:val="21"/>
                </w:rPr>
                <m:t>J</m:t>
              </m:r>
            </m:oMath>
            <w:r>
              <w:rPr>
                <w:rFonts w:hint="eastAsia"/>
                <w:szCs w:val="21"/>
              </w:rPr>
              <w:t>——水力坡度，一般取1；</w:t>
            </w:r>
          </w:p>
          <w:p w14:paraId="70837F48">
            <w:pPr>
              <w:ind w:left="630" w:leftChars="300" w:firstLine="0" w:firstLineChars="0"/>
              <w:rPr>
                <w:bCs/>
                <w:szCs w:val="21"/>
              </w:rPr>
            </w:pPr>
            <m:oMath>
              <m:r>
                <m:rPr/>
                <w:rPr>
                  <w:rFonts w:ascii="Cambria Math" w:hAnsi="Cambria Math"/>
                  <w:szCs w:val="21"/>
                </w:rPr>
                <m:t>A</m:t>
              </m:r>
            </m:oMath>
            <w:r>
              <w:rPr>
                <w:rFonts w:hint="eastAsia"/>
                <w:szCs w:val="21"/>
              </w:rPr>
              <w:t>——有效渗透面积</w:t>
            </w:r>
            <w:r>
              <w:rPr>
                <w:rFonts w:hint="eastAsia"/>
                <w:bCs/>
                <w:szCs w:val="21"/>
              </w:rPr>
              <w:t>（m</w:t>
            </w:r>
            <w:r>
              <w:rPr>
                <w:rFonts w:hint="eastAsia"/>
                <w:bCs/>
                <w:szCs w:val="21"/>
                <w:vertAlign w:val="superscript"/>
              </w:rPr>
              <w:t>2</w:t>
            </w:r>
            <w:r>
              <w:rPr>
                <w:rFonts w:hint="eastAsia"/>
                <w:bCs/>
                <w:szCs w:val="21"/>
              </w:rPr>
              <w:t>）；</w:t>
            </w:r>
          </w:p>
          <w:p w14:paraId="1CE1536E">
            <w:pPr>
              <w:ind w:left="630" w:leftChars="300" w:firstLine="0" w:firstLineChars="0"/>
              <w:rPr>
                <w:b/>
                <w:bCs/>
                <w:i/>
                <w:iCs/>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oMath>
            <w:r>
              <w:rPr>
                <w:rFonts w:hint="eastAsia"/>
                <w:szCs w:val="21"/>
              </w:rPr>
              <w:t>——</w:t>
            </w:r>
            <w:r>
              <w:rPr>
                <w:rFonts w:hint="eastAsia"/>
                <w:bCs/>
                <w:szCs w:val="21"/>
              </w:rPr>
              <w:t>降雨过程中的入渗历时（h），为当地多年平均场降雨历时，资料缺乏时，可根据平均场降雨历时特点取2h~12h。</w:t>
            </w:r>
          </w:p>
          <w:p w14:paraId="27A7CBF6">
            <w:pPr>
              <w:pStyle w:val="35"/>
              <w:tabs>
                <w:tab w:val="left" w:pos="0"/>
              </w:tabs>
              <w:ind w:firstLine="420" w:firstLineChars="200"/>
              <w:rPr>
                <w:szCs w:val="21"/>
              </w:rPr>
            </w:pPr>
            <w:r>
              <w:rPr>
                <w:rFonts w:hint="eastAsia"/>
                <w:szCs w:val="21"/>
              </w:rPr>
              <w:t>3 延时调节设施的径流体积控制规模按下列公式计算：</w:t>
            </w:r>
          </w:p>
          <w:p w14:paraId="2DA57891">
            <w:pPr>
              <w:ind w:firstLine="420"/>
              <w:jc w:val="center"/>
              <w:rPr>
                <w:szCs w:val="21"/>
              </w:rPr>
            </w:pPr>
            <m:oMathPara>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m:oMathPara>
          </w:p>
          <w:p w14:paraId="25546D23">
            <w:pPr>
              <w:pStyle w:val="35"/>
              <w:tabs>
                <w:tab w:val="left" w:pos="0"/>
              </w:tabs>
              <w:ind w:firstLine="420" w:firstLineChars="200"/>
              <w:rPr>
                <w:rFonts w:hAnsi="Cambria Math"/>
                <w:szCs w:val="21"/>
              </w:rPr>
            </w:pPr>
            <m:oMathPara>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S</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d</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oMath>
            </m:oMathPara>
          </w:p>
          <w:p w14:paraId="10875A82">
            <w:pPr>
              <w:ind w:firstLine="0" w:firstLineChars="0"/>
              <w:rPr>
                <w:bCs/>
                <w:szCs w:val="21"/>
              </w:rPr>
            </w:pPr>
            <w:r>
              <w:rPr>
                <w:rFonts w:hint="eastAsia"/>
                <w:bCs/>
                <w:szCs w:val="21"/>
              </w:rPr>
              <w:t>式中：</w:t>
            </w:r>
            <m:oMath>
              <m:sSub>
                <m:sSubPr>
                  <m:ctrlPr>
                    <w:rPr>
                      <w:rFonts w:ascii="Cambria Math" w:hAnsi="Cambria Math"/>
                      <w:i/>
                      <w:szCs w:val="21"/>
                    </w:rPr>
                  </m:ctrlPr>
                </m:sSubPr>
                <m:e>
                  <m:r>
                    <m:rPr/>
                    <w:rPr>
                      <w:rFonts w:ascii="Cambria Math" w:hAnsi="Cambria Math"/>
                      <w:szCs w:val="21"/>
                    </w:rPr>
                    <m:t>V</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w:r>
              <w:rPr>
                <w:rFonts w:hint="eastAsia"/>
                <w:bCs/>
                <w:szCs w:val="21"/>
              </w:rPr>
              <w:t>——延时调节设施的径流体积</w:t>
            </w:r>
            <w:r>
              <w:rPr>
                <w:rFonts w:hint="eastAsia"/>
                <w:szCs w:val="21"/>
              </w:rPr>
              <w:t>控制规模</w:t>
            </w:r>
            <w:r>
              <w:rPr>
                <w:rFonts w:hint="eastAsia"/>
                <w:bCs/>
                <w:szCs w:val="21"/>
              </w:rPr>
              <w:t>（m</w:t>
            </w:r>
            <w:r>
              <w:rPr>
                <w:bCs/>
                <w:szCs w:val="21"/>
                <w:vertAlign w:val="superscript"/>
              </w:rPr>
              <w:t>3</w:t>
            </w:r>
            <w:r>
              <w:rPr>
                <w:rFonts w:hint="eastAsia"/>
                <w:bCs/>
                <w:szCs w:val="21"/>
              </w:rPr>
              <w:t>）；</w:t>
            </w:r>
          </w:p>
          <w:p w14:paraId="6F7DEEB7">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W</m:t>
                  </m:r>
                  <m:ctrlPr>
                    <w:rPr>
                      <w:rFonts w:ascii="Cambria Math" w:hAnsi="Cambria Math"/>
                      <w:i/>
                      <w:szCs w:val="21"/>
                    </w:rPr>
                  </m:ctrlPr>
                </m:e>
                <m:sub>
                  <m:r>
                    <m:rPr/>
                    <w:rPr>
                      <w:rFonts w:ascii="Cambria Math" w:hAnsi="Cambria Math"/>
                      <w:szCs w:val="21"/>
                    </w:rPr>
                    <m:t>ed</m:t>
                  </m:r>
                  <m:ctrlPr>
                    <w:rPr>
                      <w:rFonts w:ascii="Cambria Math" w:hAnsi="Cambria Math"/>
                      <w:i/>
                      <w:szCs w:val="21"/>
                    </w:rPr>
                  </m:ctrlPr>
                </m:sub>
              </m:sSub>
            </m:oMath>
            <w:r>
              <w:rPr>
                <w:rFonts w:hint="eastAsia"/>
                <w:bCs/>
                <w:szCs w:val="21"/>
              </w:rPr>
              <w:t>——延时调节设施降雨过程中的排放量（m</w:t>
            </w:r>
            <w:r>
              <w:rPr>
                <w:bCs/>
                <w:szCs w:val="21"/>
                <w:vertAlign w:val="superscript"/>
              </w:rPr>
              <w:t>3</w:t>
            </w:r>
            <w:r>
              <w:rPr>
                <w:rFonts w:hint="eastAsia"/>
                <w:bCs/>
                <w:szCs w:val="21"/>
              </w:rPr>
              <w:t>）；</w:t>
            </w:r>
          </w:p>
          <w:p w14:paraId="161D4B30">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d</m:t>
                  </m:r>
                  <m:ctrlPr>
                    <w:rPr>
                      <w:rFonts w:ascii="Cambria Math" w:hAnsi="Cambria Math"/>
                      <w:i/>
                      <w:szCs w:val="21"/>
                    </w:rPr>
                  </m:ctrlPr>
                </m:sub>
              </m:sSub>
            </m:oMath>
            <w:r>
              <w:rPr>
                <w:rFonts w:hint="eastAsia"/>
                <w:szCs w:val="21"/>
              </w:rPr>
              <w:t>——设计排空时间</w:t>
            </w:r>
            <w:r>
              <w:rPr>
                <w:rFonts w:hint="eastAsia"/>
                <w:bCs/>
                <w:szCs w:val="21"/>
              </w:rPr>
              <w:t>（h），根据设计悬浮物（SS）去除能力所需停留时间确定；</w:t>
            </w:r>
          </w:p>
          <w:p w14:paraId="3D29181D">
            <w:pPr>
              <w:ind w:left="630" w:leftChars="300" w:firstLine="0" w:firstLineChars="0"/>
              <w:rPr>
                <w:bCs/>
                <w:szCs w:val="21"/>
              </w:rPr>
            </w:pPr>
            <m:oMath>
              <m:sSub>
                <m:sSubPr>
                  <m:ctrlPr>
                    <w:rPr>
                      <w:rFonts w:ascii="Cambria Math" w:hAnsi="Cambria Math"/>
                      <w:i/>
                      <w:szCs w:val="21"/>
                    </w:rPr>
                  </m:ctrlPr>
                </m:sSubPr>
                <m:e>
                  <m:r>
                    <m:rPr/>
                    <w:rPr>
                      <w:rFonts w:ascii="Cambria Math" w:hAnsi="Cambria Math"/>
                      <w:szCs w:val="21"/>
                    </w:rPr>
                    <m:t>t</m:t>
                  </m:r>
                  <m:ctrlPr>
                    <w:rPr>
                      <w:rFonts w:ascii="Cambria Math" w:hAnsi="Cambria Math"/>
                      <w:i/>
                      <w:szCs w:val="21"/>
                    </w:rPr>
                  </m:ctrlPr>
                </m:e>
                <m:sub>
                  <m:r>
                    <m:rPr/>
                    <w:rPr>
                      <w:rFonts w:ascii="Cambria Math" w:hAnsi="Cambria Math"/>
                      <w:szCs w:val="21"/>
                    </w:rPr>
                    <m:t>p</m:t>
                  </m:r>
                  <m:ctrlPr>
                    <w:rPr>
                      <w:rFonts w:ascii="Cambria Math" w:hAnsi="Cambria Math"/>
                      <w:i/>
                      <w:szCs w:val="21"/>
                    </w:rPr>
                  </m:ctrlPr>
                </m:sub>
              </m:sSub>
            </m:oMath>
            <w:r>
              <w:rPr>
                <w:rFonts w:hint="eastAsia"/>
                <w:bCs/>
                <w:szCs w:val="21"/>
              </w:rPr>
              <w:t>——降雨过程中的排放历时（h），为当地多年平均场降雨历时，资料缺乏时，可根据平均场降雨历时特点取2h~12h；</w:t>
            </w:r>
          </w:p>
          <w:p w14:paraId="3329656E">
            <w:pPr>
              <w:pStyle w:val="35"/>
              <w:tabs>
                <w:tab w:val="left" w:pos="0"/>
              </w:tabs>
              <w:rPr>
                <w:rFonts w:cs="Times New Roman"/>
                <w:b/>
                <w:bCs/>
                <w:i/>
                <w:iCs/>
                <w:szCs w:val="21"/>
              </w:rPr>
            </w:pPr>
            <w:r>
              <w:rPr>
                <w:rFonts w:hint="eastAsia"/>
                <w:b/>
                <w:bCs/>
                <w:i/>
                <w:iCs/>
              </w:rPr>
              <w:t>审查说明：雨水花园、生物滞留设施、下凹式绿地等各类渗透、渗滤及滞蓄设施在降雨过程中的入渗量可计入调蓄容积。延时调节设施在降雨过程中的排放量也可计入控制容积。</w:t>
            </w:r>
          </w:p>
          <w:p w14:paraId="570F7C15">
            <w:pPr>
              <w:pStyle w:val="20"/>
              <w:tabs>
                <w:tab w:val="left" w:pos="0"/>
              </w:tabs>
              <w:ind w:firstLine="0" w:firstLineChars="0"/>
              <w:rPr>
                <w:rFonts w:cs="Times New Roman"/>
                <w:b/>
                <w:bCs/>
                <w:i/>
                <w:iCs/>
                <w:sz w:val="21"/>
                <w:szCs w:val="21"/>
              </w:rPr>
            </w:pPr>
          </w:p>
          <w:p w14:paraId="6845B33D">
            <w:pPr>
              <w:pStyle w:val="35"/>
              <w:tabs>
                <w:tab w:val="left" w:pos="0"/>
              </w:tabs>
              <w:rPr>
                <w:rFonts w:hint="eastAsia"/>
                <w:b/>
                <w:bCs/>
              </w:rPr>
            </w:pPr>
            <w:r>
              <w:rPr>
                <w:rFonts w:hint="eastAsia"/>
                <w:b/>
                <w:bCs/>
              </w:rPr>
              <w:t>《海绵城市规划与设计标准》DG/TJ 08-2298-2026</w:t>
            </w:r>
          </w:p>
          <w:p w14:paraId="4EB8D914">
            <w:pPr>
              <w:pStyle w:val="20"/>
              <w:tabs>
                <w:tab w:val="left" w:pos="0"/>
              </w:tabs>
              <w:ind w:firstLine="0" w:firstLineChars="0"/>
              <w:rPr>
                <w:rFonts w:cs="宋体"/>
                <w:bCs/>
                <w:sz w:val="21"/>
                <w:szCs w:val="21"/>
              </w:rPr>
            </w:pPr>
            <w:r>
              <w:rPr>
                <w:rFonts w:cs="Times New Roman"/>
                <w:bCs/>
                <w:sz w:val="21"/>
                <w:szCs w:val="21"/>
                <w:lang w:bidi="ar"/>
              </w:rPr>
              <w:t>6.2.4</w:t>
            </w:r>
            <w:r>
              <w:rPr>
                <w:rFonts w:hint="eastAsia" w:cs="Times New Roman"/>
                <w:bCs/>
                <w:sz w:val="21"/>
                <w:szCs w:val="21"/>
                <w:lang w:val="en-US" w:eastAsia="zh-CN" w:bidi="ar"/>
              </w:rPr>
              <w:t xml:space="preserve"> </w:t>
            </w:r>
            <w:r>
              <w:rPr>
                <w:rFonts w:hint="eastAsia" w:cs="宋体"/>
                <w:bCs/>
                <w:sz w:val="21"/>
                <w:szCs w:val="21"/>
                <w:lang w:bidi="ar"/>
              </w:rPr>
              <w:t>年径流污染控制率应以固体悬浮物（</w:t>
            </w:r>
            <w:r>
              <w:rPr>
                <w:rFonts w:cs="Times New Roman"/>
                <w:bCs/>
                <w:sz w:val="21"/>
                <w:szCs w:val="21"/>
                <w:lang w:bidi="ar"/>
              </w:rPr>
              <w:t>SS</w:t>
            </w:r>
            <w:r>
              <w:rPr>
                <w:rFonts w:hint="eastAsia" w:cs="宋体"/>
                <w:bCs/>
                <w:sz w:val="21"/>
                <w:szCs w:val="21"/>
                <w:lang w:bidi="ar"/>
              </w:rPr>
              <w:t>）的削减量计，可按下式计算</w:t>
            </w:r>
            <w:r>
              <w:rPr>
                <w:rFonts w:cs="Times New Roman"/>
                <w:bCs/>
                <w:sz w:val="21"/>
                <w:szCs w:val="21"/>
                <w:lang w:bidi="ar"/>
              </w:rPr>
              <w:t>:</w:t>
            </w:r>
          </w:p>
          <w:p w14:paraId="00845014">
            <w:pPr>
              <w:pStyle w:val="35"/>
              <w:tabs>
                <w:tab w:val="left" w:pos="0"/>
              </w:tabs>
              <w:rPr>
                <w:rFonts w:cstheme="minorEastAsia"/>
                <w:bCs/>
                <w:szCs w:val="21"/>
              </w:rPr>
            </w:pPr>
            <m:oMathPara>
              <m:oMath>
                <m:r>
                  <m:rPr/>
                  <w:rPr>
                    <w:rFonts w:ascii="Cambria Math" w:hAnsi="Cambria Math" w:eastAsia="Cambria Math" w:cs="Cambria Math"/>
                    <w:szCs w:val="21"/>
                  </w:rPr>
                  <m:t>β</m:t>
                </m:r>
                <m:r>
                  <m:rPr>
                    <m:sty m:val="p"/>
                  </m:rPr>
                  <w:rPr>
                    <w:rFonts w:ascii="Cambria Math" w:hAnsi="Cambria Math" w:eastAsia="Cambria Math" w:cs="Cambria Math"/>
                    <w:szCs w:val="21"/>
                  </w:rPr>
                  <m:t>=</m:t>
                </m:r>
                <m:f>
                  <m:fPr>
                    <m:ctrlPr>
                      <w:rPr>
                        <w:rFonts w:ascii="Cambria Math" w:hAnsi="Cambria Math" w:eastAsia="Cambria Math" w:cstheme="minorEastAsia"/>
                        <w:bCs/>
                        <w:szCs w:val="21"/>
                      </w:rPr>
                    </m:ctrlPr>
                  </m:fPr>
                  <m:num>
                    <m:r>
                      <m:rPr/>
                      <w:rPr>
                        <w:rFonts w:ascii="Cambria Math" w:hAnsi="Cambria Math" w:eastAsia="Cambria Math" w:cstheme="minorEastAsia"/>
                        <w:szCs w:val="21"/>
                      </w:rPr>
                      <m:t>Σ</m:t>
                    </m:r>
                    <m:d>
                      <m:dPr>
                        <m:begChr m:val="（"/>
                        <m:endChr m:val="）"/>
                        <m:ctrlPr>
                          <w:rPr>
                            <w:rFonts w:ascii="Cambria Math" w:hAnsi="Cambria Math" w:cs="宋体"/>
                            <w:bCs/>
                            <w:i/>
                            <w:szCs w:val="21"/>
                          </w:rPr>
                        </m:ctrlPr>
                      </m:dPr>
                      <m:e>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C</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sSub>
                          <m:sSubPr>
                            <m:ctrlPr>
                              <w:rPr>
                                <w:rFonts w:ascii="Cambria Math" w:hAnsi="Cambria Math" w:cs="宋体"/>
                                <w:bCs/>
                                <w:i/>
                                <w:szCs w:val="21"/>
                              </w:rPr>
                            </m:ctrlPr>
                          </m:sSubPr>
                          <m:e>
                            <m:r>
                              <m:rPr/>
                              <w:rPr>
                                <w:rFonts w:ascii="Cambria Math" w:hAnsi="Cambria Math" w:cs="宋体"/>
                                <w:szCs w:val="21"/>
                              </w:rPr>
                              <m:t>α</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ctrlPr>
                          <w:rPr>
                            <w:rFonts w:ascii="Cambria Math" w:hAnsi="Cambria Math" w:cs="宋体"/>
                            <w:bCs/>
                            <w:i/>
                            <w:szCs w:val="21"/>
                          </w:rPr>
                        </m:ctrlPr>
                      </m:e>
                    </m:d>
                    <m:ctrlPr>
                      <w:rPr>
                        <w:rFonts w:ascii="Cambria Math" w:hAnsi="Cambria Math" w:eastAsia="Cambria Math" w:cstheme="minorEastAsia"/>
                        <w:bCs/>
                        <w:szCs w:val="21"/>
                      </w:rPr>
                    </m:ctrlPr>
                  </m:num>
                  <m:den>
                    <m:r>
                      <m:rPr>
                        <m:sty m:val="p"/>
                      </m:rPr>
                      <w:rPr>
                        <w:rFonts w:ascii="Cambria Math" w:hAnsi="Cambria Math" w:eastAsia="Cambria Math" w:cs="Cambria Math"/>
                        <w:szCs w:val="21"/>
                      </w:rPr>
                      <m:t>F</m:t>
                    </m:r>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ctrlPr>
                      <w:rPr>
                        <w:rFonts w:ascii="Cambria Math" w:hAnsi="Cambria Math" w:eastAsia="Cambria Math" w:cstheme="minorEastAsia"/>
                        <w:bCs/>
                        <w:szCs w:val="21"/>
                      </w:rPr>
                    </m:ctrlPr>
                  </m:den>
                </m:f>
              </m:oMath>
            </m:oMathPara>
          </w:p>
          <w:p w14:paraId="2370CFE8">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β</m:t>
              </m:r>
            </m:oMath>
            <w:r>
              <w:rPr>
                <w:rFonts w:hint="eastAsia" w:cstheme="minorEastAsia"/>
                <w:bCs/>
                <w:szCs w:val="21"/>
              </w:rPr>
              <w:t>——项目年径流污染控制率；</w:t>
            </w:r>
          </w:p>
          <w:p w14:paraId="7F8C9501">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F</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——各单体设施汇水面积</w:t>
            </w:r>
            <w:r>
              <w:rPr>
                <w:rFonts w:hint="eastAsia" w:cstheme="minorEastAsia"/>
                <w:bCs/>
                <w:szCs w:val="21"/>
                <w:lang w:eastAsia="zh-CN"/>
              </w:rPr>
              <w:t>（</w:t>
            </w:r>
            <w:r>
              <w:rPr>
                <w:rFonts w:hint="eastAsia" w:cstheme="minorEastAsia"/>
                <w:bCs/>
                <w:szCs w:val="21"/>
              </w:rPr>
              <w:t>m</w:t>
            </w:r>
            <w:r>
              <w:rPr>
                <w:rFonts w:hint="eastAsia" w:cstheme="minorEastAsia"/>
                <w:bCs/>
                <w:szCs w:val="21"/>
                <w:vertAlign w:val="superscript"/>
              </w:rPr>
              <w:t>2</w:t>
            </w:r>
            <w:r>
              <w:rPr>
                <w:rFonts w:hint="eastAsia" w:cstheme="minorEastAsia"/>
                <w:bCs/>
                <w:szCs w:val="21"/>
                <w:lang w:eastAsia="zh-CN"/>
              </w:rPr>
              <w:t>）</w:t>
            </w:r>
            <w:r>
              <w:rPr>
                <w:rFonts w:hint="eastAsia" w:cstheme="minorEastAsia"/>
                <w:bCs/>
                <w:szCs w:val="21"/>
              </w:rPr>
              <w:t>；</w:t>
            </w:r>
          </w:p>
          <w:p w14:paraId="5277122B">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——各单体设施汇水面的综合径流系数；</w:t>
            </w:r>
          </w:p>
          <w:p w14:paraId="468B742F">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C</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——各单体设施固体悬浮物去除率，应以实测数据为准，缺乏资料时，可参考相似工程经验取值；</w:t>
            </w:r>
          </w:p>
          <w:p w14:paraId="230FABBF">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α</m:t>
                  </m:r>
                  <m:ctrlPr>
                    <w:rPr>
                      <w:rFonts w:ascii="Cambria Math" w:hAnsi="Cambria Math" w:cs="宋体"/>
                      <w:bCs/>
                      <w:i/>
                      <w:szCs w:val="21"/>
                    </w:rPr>
                  </m:ctrlPr>
                </m:e>
                <m:sub>
                  <m:r>
                    <m:rPr/>
                    <w:rPr>
                      <w:rFonts w:ascii="Cambria Math" w:hAnsi="Cambria Math" w:cs="宋体"/>
                      <w:szCs w:val="21"/>
                    </w:rPr>
                    <m:t>j</m:t>
                  </m:r>
                  <m:ctrlPr>
                    <w:rPr>
                      <w:rFonts w:ascii="Cambria Math" w:hAnsi="Cambria Math" w:cs="宋体"/>
                      <w:bCs/>
                      <w:i/>
                      <w:szCs w:val="21"/>
                    </w:rPr>
                  </m:ctrlPr>
                </m:sub>
              </m:sSub>
            </m:oMath>
            <w:r>
              <w:rPr>
                <w:rFonts w:hint="eastAsia" w:cstheme="minorEastAsia"/>
                <w:bCs/>
                <w:szCs w:val="21"/>
              </w:rPr>
              <w:t>——各单体设施年径流总量控制率；</w:t>
            </w:r>
          </w:p>
          <w:p w14:paraId="6C3F11E9">
            <w:pPr>
              <w:pStyle w:val="35"/>
              <w:tabs>
                <w:tab w:val="left" w:pos="0"/>
              </w:tabs>
              <w:ind w:left="630" w:leftChars="300"/>
              <w:rPr>
                <w:rFonts w:cstheme="minorEastAsia"/>
                <w:bCs/>
                <w:szCs w:val="21"/>
              </w:rPr>
            </w:pPr>
            <m:oMath>
              <m:r>
                <m:rPr>
                  <m:sty m:val="p"/>
                </m:rPr>
                <w:rPr>
                  <w:rFonts w:ascii="Cambria Math" w:hAnsi="Cambria Math" w:cs="Cambria Math"/>
                  <w:szCs w:val="21"/>
                </w:rPr>
                <m:t>F</m:t>
              </m:r>
            </m:oMath>
            <w:r>
              <w:rPr>
                <w:rFonts w:hint="eastAsia" w:cstheme="minorEastAsia"/>
                <w:bCs/>
                <w:szCs w:val="21"/>
              </w:rPr>
              <w:t>——项目占地面积</w:t>
            </w:r>
            <w:r>
              <w:rPr>
                <w:rFonts w:hint="eastAsia" w:cstheme="minorEastAsia"/>
                <w:bCs/>
                <w:szCs w:val="21"/>
                <w:lang w:eastAsia="zh-CN"/>
              </w:rPr>
              <w:t>（</w:t>
            </w:r>
            <w:r>
              <w:rPr>
                <w:rFonts w:hint="eastAsia" w:cstheme="minorEastAsia"/>
                <w:bCs/>
                <w:szCs w:val="21"/>
              </w:rPr>
              <w:t>m</w:t>
            </w:r>
            <w:r>
              <w:rPr>
                <w:rFonts w:hint="eastAsia" w:cstheme="minorEastAsia"/>
                <w:bCs/>
                <w:szCs w:val="21"/>
                <w:vertAlign w:val="superscript"/>
              </w:rPr>
              <w:t>2</w:t>
            </w:r>
            <w:r>
              <w:rPr>
                <w:rFonts w:hint="eastAsia" w:cstheme="minorEastAsia"/>
                <w:bCs/>
                <w:szCs w:val="21"/>
                <w:lang w:eastAsia="zh-CN"/>
              </w:rPr>
              <w:t>）</w:t>
            </w:r>
            <w:r>
              <w:rPr>
                <w:rFonts w:hint="eastAsia" w:cstheme="minorEastAsia"/>
                <w:bCs/>
                <w:szCs w:val="21"/>
              </w:rPr>
              <w:t>；</w:t>
            </w:r>
          </w:p>
          <w:p w14:paraId="6ABD2DE2">
            <w:pPr>
              <w:pStyle w:val="35"/>
              <w:tabs>
                <w:tab w:val="left" w:pos="0"/>
              </w:tabs>
              <w:ind w:left="630" w:leftChars="3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Ψ</m:t>
                  </m:r>
                  <m:ctrlPr>
                    <w:rPr>
                      <w:rFonts w:ascii="Cambria Math" w:hAnsi="Cambria Math" w:cs="宋体"/>
                      <w:bCs/>
                      <w:i/>
                      <w:szCs w:val="21"/>
                    </w:rPr>
                  </m:ctrlPr>
                </m:e>
                <m:sub>
                  <m:r>
                    <m:rPr/>
                    <w:rPr>
                      <w:rFonts w:ascii="Cambria Math" w:hAnsi="Cambria Math" w:cs="宋体"/>
                      <w:szCs w:val="21"/>
                    </w:rPr>
                    <m:t>z</m:t>
                  </m:r>
                  <m:ctrlPr>
                    <w:rPr>
                      <w:rFonts w:ascii="Cambria Math" w:hAnsi="Cambria Math" w:cs="宋体"/>
                      <w:bCs/>
                      <w:i/>
                      <w:szCs w:val="21"/>
                    </w:rPr>
                  </m:ctrlPr>
                </m:sub>
              </m:sSub>
            </m:oMath>
            <w:r>
              <w:rPr>
                <w:rFonts w:hint="eastAsia" w:cs="宋体"/>
                <w:bCs/>
                <w:szCs w:val="21"/>
              </w:rPr>
              <w:t>——综合径流系数。</w:t>
            </w:r>
          </w:p>
          <w:p w14:paraId="147CED80">
            <w:pPr>
              <w:pStyle w:val="35"/>
              <w:ind w:left="630" w:leftChars="300"/>
              <w:rPr>
                <w:rFonts w:cs="宋体"/>
                <w:bCs/>
                <w:szCs w:val="21"/>
              </w:rPr>
            </w:pPr>
            <w:r>
              <w:rPr>
                <w:rFonts w:hint="eastAsia"/>
                <w:szCs w:val="21"/>
              </w:rPr>
              <w:t>当缺乏实测资料时，可按表2取值计算。</w:t>
            </w:r>
          </w:p>
          <w:p w14:paraId="68CC279C">
            <w:pPr>
              <w:pStyle w:val="35"/>
              <w:rPr>
                <w:rFonts w:cs="Times New Roman"/>
                <w:szCs w:val="21"/>
              </w:rPr>
            </w:pPr>
            <w:r>
              <w:rPr>
                <w:rFonts w:hint="eastAsia"/>
                <w:b/>
                <w:bCs/>
                <w:i/>
                <w:iCs/>
              </w:rPr>
              <w:t>审查说明：当缺乏实测资料时，可按表2取值计算。</w:t>
            </w:r>
          </w:p>
          <w:p w14:paraId="21C72C8F">
            <w:pPr>
              <w:pStyle w:val="20"/>
              <w:tabs>
                <w:tab w:val="left" w:pos="0"/>
              </w:tabs>
              <w:ind w:firstLine="0" w:firstLineChars="0"/>
              <w:jc w:val="center"/>
              <w:rPr>
                <w:rFonts w:cs="Times New Roman"/>
                <w:sz w:val="21"/>
                <w:szCs w:val="21"/>
              </w:rPr>
            </w:pPr>
            <w:r>
              <w:rPr>
                <w:rFonts w:hint="eastAsia" w:cs="宋体"/>
                <w:sz w:val="21"/>
                <w:szCs w:val="21"/>
                <w:lang w:bidi="ar"/>
              </w:rPr>
              <w:t>表</w:t>
            </w:r>
            <w:r>
              <w:rPr>
                <w:rFonts w:cs="Times New Roman"/>
                <w:sz w:val="21"/>
                <w:szCs w:val="21"/>
                <w:lang w:bidi="ar"/>
              </w:rPr>
              <w:t xml:space="preserve">2 </w:t>
            </w:r>
            <w:r>
              <w:rPr>
                <w:rFonts w:hint="eastAsia" w:cs="宋体"/>
                <w:sz w:val="21"/>
                <w:szCs w:val="21"/>
                <w:lang w:bidi="ar"/>
              </w:rPr>
              <w:t>常用海绵设施污染物去除率一览表</w:t>
            </w:r>
          </w:p>
          <w:tbl>
            <w:tblPr>
              <w:tblStyle w:val="23"/>
              <w:tblW w:w="5000" w:type="pct"/>
              <w:tblInd w:w="16" w:type="dxa"/>
              <w:tblBorders>
                <w:top w:val="single" w:color="auto" w:sz="8" w:space="0"/>
                <w:left w:val="none" w:color="auto" w:sz="4" w:space="0"/>
                <w:bottom w:val="single" w:color="auto" w:sz="8" w:space="0"/>
                <w:right w:val="non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2740"/>
              <w:gridCol w:w="2212"/>
            </w:tblGrid>
            <w:tr w14:paraId="1D2602E9">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204" w:type="pct"/>
                  <w:vMerge w:val="restart"/>
                  <w:tcBorders>
                    <w:top w:val="single" w:color="auto" w:sz="8" w:space="0"/>
                    <w:left w:val="nil"/>
                    <w:bottom w:val="single" w:color="auto" w:sz="4" w:space="0"/>
                    <w:right w:val="single" w:color="auto" w:sz="4" w:space="0"/>
                  </w:tcBorders>
                  <w:vAlign w:val="center"/>
                </w:tcPr>
                <w:p w14:paraId="41392E88">
                  <w:pPr>
                    <w:pStyle w:val="20"/>
                    <w:tabs>
                      <w:tab w:val="left" w:pos="0"/>
                    </w:tabs>
                    <w:ind w:firstLine="0" w:firstLineChars="0"/>
                    <w:jc w:val="center"/>
                    <w:rPr>
                      <w:rFonts w:cs="Times New Roman"/>
                      <w:sz w:val="21"/>
                      <w:szCs w:val="21"/>
                    </w:rPr>
                  </w:pPr>
                  <w:r>
                    <w:rPr>
                      <w:rFonts w:hint="eastAsia" w:cs="宋体"/>
                      <w:sz w:val="21"/>
                      <w:szCs w:val="21"/>
                      <w:lang w:bidi="ar"/>
                    </w:rPr>
                    <w:t>单项设施</w:t>
                  </w:r>
                </w:p>
              </w:tc>
              <w:tc>
                <w:tcPr>
                  <w:tcW w:w="3795" w:type="pct"/>
                  <w:gridSpan w:val="2"/>
                  <w:tcBorders>
                    <w:top w:val="single" w:color="auto" w:sz="8" w:space="0"/>
                    <w:left w:val="single" w:color="auto" w:sz="4" w:space="0"/>
                    <w:bottom w:val="single" w:color="auto" w:sz="4" w:space="0"/>
                    <w:right w:val="nil"/>
                  </w:tcBorders>
                  <w:vAlign w:val="center"/>
                </w:tcPr>
                <w:p w14:paraId="48D9BA7B">
                  <w:pPr>
                    <w:pStyle w:val="20"/>
                    <w:tabs>
                      <w:tab w:val="left" w:pos="0"/>
                    </w:tabs>
                    <w:ind w:firstLine="0" w:firstLineChars="0"/>
                    <w:jc w:val="center"/>
                    <w:rPr>
                      <w:rFonts w:cs="Times New Roman"/>
                      <w:sz w:val="21"/>
                      <w:szCs w:val="21"/>
                    </w:rPr>
                  </w:pPr>
                  <w:r>
                    <w:rPr>
                      <w:rFonts w:hint="eastAsia" w:cs="宋体"/>
                      <w:sz w:val="21"/>
                      <w:szCs w:val="21"/>
                      <w:lang w:bidi="ar"/>
                    </w:rPr>
                    <w:t>污染物去除率（以</w:t>
                  </w:r>
                  <w:r>
                    <w:rPr>
                      <w:rFonts w:cs="Times New Roman"/>
                      <w:sz w:val="21"/>
                      <w:szCs w:val="21"/>
                      <w:lang w:bidi="ar"/>
                    </w:rPr>
                    <w:t>SS</w:t>
                  </w:r>
                  <w:r>
                    <w:rPr>
                      <w:rFonts w:hint="eastAsia" w:cs="宋体"/>
                      <w:sz w:val="21"/>
                      <w:szCs w:val="21"/>
                      <w:lang w:bidi="ar"/>
                    </w:rPr>
                    <w:t>计，</w:t>
                  </w:r>
                  <w:r>
                    <w:rPr>
                      <w:rFonts w:cs="Times New Roman"/>
                      <w:sz w:val="21"/>
                      <w:szCs w:val="21"/>
                      <w:lang w:bidi="ar"/>
                    </w:rPr>
                    <w:t>%</w:t>
                  </w:r>
                  <w:r>
                    <w:rPr>
                      <w:rFonts w:hint="eastAsia" w:cs="宋体"/>
                      <w:sz w:val="21"/>
                      <w:szCs w:val="21"/>
                      <w:lang w:bidi="ar"/>
                    </w:rPr>
                    <w:t>）</w:t>
                  </w:r>
                </w:p>
              </w:tc>
            </w:tr>
            <w:tr w14:paraId="79F3479F">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204" w:type="pct"/>
                  <w:vMerge w:val="continue"/>
                  <w:tcBorders>
                    <w:top w:val="single" w:color="auto" w:sz="8" w:space="0"/>
                    <w:left w:val="nil"/>
                    <w:bottom w:val="single" w:color="auto" w:sz="4" w:space="0"/>
                    <w:right w:val="single" w:color="auto" w:sz="4" w:space="0"/>
                  </w:tcBorders>
                  <w:vAlign w:val="center"/>
                </w:tcPr>
                <w:p w14:paraId="7C9E6294">
                  <w:pPr>
                    <w:ind w:firstLine="400"/>
                    <w:rPr>
                      <w:rFonts w:cs="Times New Roman"/>
                      <w:sz w:val="20"/>
                      <w:szCs w:val="20"/>
                    </w:rPr>
                  </w:pPr>
                </w:p>
              </w:tc>
              <w:tc>
                <w:tcPr>
                  <w:tcW w:w="2099" w:type="pct"/>
                  <w:tcBorders>
                    <w:top w:val="single" w:color="auto" w:sz="4" w:space="0"/>
                    <w:left w:val="single" w:color="auto" w:sz="4" w:space="0"/>
                    <w:bottom w:val="single" w:color="auto" w:sz="4" w:space="0"/>
                    <w:right w:val="single" w:color="auto" w:sz="4" w:space="0"/>
                  </w:tcBorders>
                  <w:vAlign w:val="center"/>
                </w:tcPr>
                <w:p w14:paraId="49C5505E">
                  <w:pPr>
                    <w:pStyle w:val="20"/>
                    <w:tabs>
                      <w:tab w:val="left" w:pos="0"/>
                    </w:tabs>
                    <w:ind w:firstLine="0" w:firstLineChars="0"/>
                    <w:jc w:val="center"/>
                    <w:rPr>
                      <w:rFonts w:cs="Times New Roman"/>
                      <w:sz w:val="21"/>
                      <w:szCs w:val="21"/>
                      <w:vertAlign w:val="superscript"/>
                    </w:rPr>
                  </w:pPr>
                  <w:r>
                    <w:rPr>
                      <w:rFonts w:hint="eastAsia" w:cs="宋体"/>
                      <w:sz w:val="21"/>
                      <w:szCs w:val="21"/>
                      <w:lang w:bidi="ar"/>
                    </w:rPr>
                    <w:t>美国流域保护中心研究数据</w:t>
                  </w:r>
                </w:p>
              </w:tc>
              <w:tc>
                <w:tcPr>
                  <w:tcW w:w="1695" w:type="pct"/>
                  <w:tcBorders>
                    <w:top w:val="single" w:color="auto" w:sz="4" w:space="0"/>
                    <w:left w:val="single" w:color="auto" w:sz="4" w:space="0"/>
                    <w:bottom w:val="single" w:color="auto" w:sz="4" w:space="0"/>
                    <w:right w:val="nil"/>
                  </w:tcBorders>
                  <w:vAlign w:val="center"/>
                </w:tcPr>
                <w:p w14:paraId="4413F8D0">
                  <w:pPr>
                    <w:pStyle w:val="20"/>
                    <w:tabs>
                      <w:tab w:val="left" w:pos="0"/>
                    </w:tabs>
                    <w:ind w:firstLine="0" w:firstLineChars="0"/>
                    <w:jc w:val="center"/>
                    <w:rPr>
                      <w:rFonts w:cs="Times New Roman"/>
                      <w:sz w:val="21"/>
                      <w:szCs w:val="21"/>
                    </w:rPr>
                  </w:pPr>
                  <w:r>
                    <w:rPr>
                      <w:rFonts w:hint="eastAsia" w:cs="宋体"/>
                      <w:sz w:val="21"/>
                      <w:szCs w:val="21"/>
                      <w:lang w:bidi="ar"/>
                    </w:rPr>
                    <w:t>国内及上海研究数据</w:t>
                  </w:r>
                </w:p>
              </w:tc>
            </w:tr>
            <w:tr w14:paraId="1C167A03">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0C30FEC7">
                  <w:pPr>
                    <w:pStyle w:val="20"/>
                    <w:ind w:firstLine="0" w:firstLineChars="0"/>
                    <w:jc w:val="center"/>
                    <w:rPr>
                      <w:rFonts w:cs="Times New Roman"/>
                      <w:sz w:val="21"/>
                      <w:szCs w:val="21"/>
                    </w:rPr>
                  </w:pPr>
                  <w:r>
                    <w:rPr>
                      <w:rFonts w:hint="eastAsia" w:cs="宋体"/>
                      <w:sz w:val="21"/>
                      <w:szCs w:val="21"/>
                      <w:lang w:bidi="ar"/>
                    </w:rPr>
                    <w:t>绿色屋顶</w:t>
                  </w:r>
                </w:p>
              </w:tc>
              <w:tc>
                <w:tcPr>
                  <w:tcW w:w="2099" w:type="pct"/>
                  <w:tcBorders>
                    <w:top w:val="single" w:color="auto" w:sz="4" w:space="0"/>
                    <w:left w:val="single" w:color="auto" w:sz="4" w:space="0"/>
                    <w:bottom w:val="single" w:color="auto" w:sz="4" w:space="0"/>
                    <w:right w:val="single" w:color="auto" w:sz="4" w:space="0"/>
                  </w:tcBorders>
                  <w:vAlign w:val="center"/>
                </w:tcPr>
                <w:p w14:paraId="4F74F0FB">
                  <w:pPr>
                    <w:pStyle w:val="20"/>
                    <w:ind w:firstLine="0" w:firstLineChars="0"/>
                    <w:jc w:val="center"/>
                    <w:rPr>
                      <w:rFonts w:cs="Times New Roman"/>
                      <w:sz w:val="21"/>
                      <w:szCs w:val="21"/>
                    </w:rPr>
                  </w:pPr>
                  <w:r>
                    <w:rPr>
                      <w:rFonts w:cs="Times New Roman"/>
                      <w:sz w:val="21"/>
                      <w:szCs w:val="21"/>
                      <w:lang w:bidi="ar"/>
                    </w:rPr>
                    <w:t>70~80</w:t>
                  </w:r>
                </w:p>
              </w:tc>
              <w:tc>
                <w:tcPr>
                  <w:tcW w:w="1695" w:type="pct"/>
                  <w:tcBorders>
                    <w:top w:val="single" w:color="auto" w:sz="4" w:space="0"/>
                    <w:left w:val="single" w:color="auto" w:sz="4" w:space="0"/>
                    <w:bottom w:val="single" w:color="auto" w:sz="4" w:space="0"/>
                    <w:right w:val="nil"/>
                  </w:tcBorders>
                  <w:vAlign w:val="center"/>
                </w:tcPr>
                <w:p w14:paraId="53213032">
                  <w:pPr>
                    <w:pStyle w:val="20"/>
                    <w:ind w:firstLine="0" w:firstLineChars="0"/>
                    <w:jc w:val="center"/>
                    <w:rPr>
                      <w:rFonts w:cs="Times New Roman"/>
                      <w:sz w:val="21"/>
                      <w:szCs w:val="21"/>
                    </w:rPr>
                  </w:pPr>
                  <w:r>
                    <w:rPr>
                      <w:rFonts w:cs="Times New Roman"/>
                      <w:sz w:val="21"/>
                      <w:szCs w:val="21"/>
                      <w:lang w:bidi="ar"/>
                    </w:rPr>
                    <w:t>70~80</w:t>
                  </w:r>
                </w:p>
              </w:tc>
            </w:tr>
            <w:tr w14:paraId="5402A1C3">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10DF5125">
                  <w:pPr>
                    <w:pStyle w:val="20"/>
                    <w:ind w:firstLine="0" w:firstLineChars="0"/>
                    <w:jc w:val="center"/>
                    <w:rPr>
                      <w:rFonts w:cs="Times New Roman"/>
                      <w:sz w:val="21"/>
                      <w:szCs w:val="21"/>
                    </w:rPr>
                  </w:pPr>
                  <w:r>
                    <w:rPr>
                      <w:rFonts w:hint="eastAsia" w:cs="宋体"/>
                      <w:sz w:val="21"/>
                      <w:szCs w:val="21"/>
                      <w:lang w:bidi="ar"/>
                    </w:rPr>
                    <w:t>透水铺装</w:t>
                  </w:r>
                </w:p>
              </w:tc>
              <w:tc>
                <w:tcPr>
                  <w:tcW w:w="2099" w:type="pct"/>
                  <w:tcBorders>
                    <w:top w:val="single" w:color="auto" w:sz="4" w:space="0"/>
                    <w:left w:val="single" w:color="auto" w:sz="4" w:space="0"/>
                    <w:bottom w:val="single" w:color="auto" w:sz="4" w:space="0"/>
                    <w:right w:val="single" w:color="auto" w:sz="4" w:space="0"/>
                  </w:tcBorders>
                  <w:vAlign w:val="center"/>
                </w:tcPr>
                <w:p w14:paraId="2B50155C">
                  <w:pPr>
                    <w:pStyle w:val="20"/>
                    <w:ind w:firstLine="0" w:firstLineChars="0"/>
                    <w:jc w:val="center"/>
                    <w:rPr>
                      <w:rFonts w:cs="Times New Roman"/>
                      <w:sz w:val="21"/>
                      <w:szCs w:val="21"/>
                    </w:rPr>
                  </w:pPr>
                  <w:r>
                    <w:rPr>
                      <w:rFonts w:cs="Times New Roman"/>
                      <w:sz w:val="21"/>
                      <w:szCs w:val="21"/>
                      <w:lang w:bidi="ar"/>
                    </w:rPr>
                    <w:t>80~90</w:t>
                  </w:r>
                </w:p>
              </w:tc>
              <w:tc>
                <w:tcPr>
                  <w:tcW w:w="1695" w:type="pct"/>
                  <w:tcBorders>
                    <w:top w:val="single" w:color="auto" w:sz="4" w:space="0"/>
                    <w:left w:val="single" w:color="auto" w:sz="4" w:space="0"/>
                    <w:bottom w:val="single" w:color="auto" w:sz="4" w:space="0"/>
                    <w:right w:val="nil"/>
                  </w:tcBorders>
                  <w:vAlign w:val="center"/>
                </w:tcPr>
                <w:p w14:paraId="30BFDC72">
                  <w:pPr>
                    <w:pStyle w:val="20"/>
                    <w:ind w:firstLine="0" w:firstLineChars="0"/>
                    <w:jc w:val="center"/>
                    <w:rPr>
                      <w:rFonts w:cs="Times New Roman"/>
                      <w:sz w:val="21"/>
                      <w:szCs w:val="21"/>
                    </w:rPr>
                  </w:pPr>
                  <w:r>
                    <w:rPr>
                      <w:rFonts w:cs="Times New Roman"/>
                      <w:sz w:val="21"/>
                      <w:szCs w:val="21"/>
                      <w:lang w:bidi="ar"/>
                    </w:rPr>
                    <w:t>80~90</w:t>
                  </w:r>
                </w:p>
              </w:tc>
            </w:tr>
            <w:tr w14:paraId="04118E53">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4" w:type="pct"/>
                  <w:tcBorders>
                    <w:top w:val="single" w:color="auto" w:sz="4" w:space="0"/>
                    <w:left w:val="nil"/>
                    <w:bottom w:val="single" w:color="auto" w:sz="4" w:space="0"/>
                    <w:right w:val="single" w:color="auto" w:sz="4" w:space="0"/>
                  </w:tcBorders>
                  <w:vAlign w:val="center"/>
                </w:tcPr>
                <w:p w14:paraId="67E8E4C8">
                  <w:pPr>
                    <w:pStyle w:val="20"/>
                    <w:ind w:firstLine="0" w:firstLineChars="0"/>
                    <w:jc w:val="center"/>
                    <w:rPr>
                      <w:rFonts w:cs="Times New Roman"/>
                      <w:sz w:val="21"/>
                      <w:szCs w:val="21"/>
                    </w:rPr>
                  </w:pPr>
                  <w:r>
                    <w:rPr>
                      <w:rFonts w:hint="eastAsia" w:cs="宋体"/>
                      <w:sz w:val="21"/>
                      <w:szCs w:val="21"/>
                      <w:lang w:bidi="ar"/>
                    </w:rPr>
                    <w:t>生物滞留设施</w:t>
                  </w:r>
                </w:p>
              </w:tc>
              <w:tc>
                <w:tcPr>
                  <w:tcW w:w="2099" w:type="pct"/>
                  <w:tcBorders>
                    <w:top w:val="single" w:color="auto" w:sz="4" w:space="0"/>
                    <w:left w:val="single" w:color="auto" w:sz="4" w:space="0"/>
                    <w:bottom w:val="single" w:color="auto" w:sz="4" w:space="0"/>
                    <w:right w:val="single" w:color="auto" w:sz="4" w:space="0"/>
                  </w:tcBorders>
                  <w:vAlign w:val="center"/>
                </w:tcPr>
                <w:p w14:paraId="769D7256">
                  <w:pPr>
                    <w:pStyle w:val="20"/>
                    <w:ind w:firstLine="0" w:firstLineChars="0"/>
                    <w:jc w:val="center"/>
                    <w:rPr>
                      <w:rFonts w:cs="Times New Roman"/>
                      <w:sz w:val="21"/>
                      <w:szCs w:val="21"/>
                    </w:rPr>
                  </w:pPr>
                  <w:r>
                    <w:rPr>
                      <w:rFonts w:cs="Times New Roman"/>
                      <w:sz w:val="21"/>
                      <w:szCs w:val="21"/>
                      <w:lang w:bidi="ar"/>
                    </w:rPr>
                    <w:t>70~95</w:t>
                  </w:r>
                </w:p>
              </w:tc>
              <w:tc>
                <w:tcPr>
                  <w:tcW w:w="1695" w:type="pct"/>
                  <w:tcBorders>
                    <w:top w:val="single" w:color="auto" w:sz="4" w:space="0"/>
                    <w:left w:val="single" w:color="auto" w:sz="4" w:space="0"/>
                    <w:bottom w:val="single" w:color="auto" w:sz="4" w:space="0"/>
                    <w:right w:val="nil"/>
                  </w:tcBorders>
                  <w:vAlign w:val="center"/>
                </w:tcPr>
                <w:p w14:paraId="31FC3482">
                  <w:pPr>
                    <w:pStyle w:val="20"/>
                    <w:ind w:firstLine="0" w:firstLineChars="0"/>
                    <w:jc w:val="center"/>
                    <w:rPr>
                      <w:rFonts w:cs="Times New Roman"/>
                      <w:sz w:val="21"/>
                      <w:szCs w:val="21"/>
                    </w:rPr>
                  </w:pPr>
                  <w:r>
                    <w:rPr>
                      <w:rFonts w:cs="Times New Roman"/>
                      <w:sz w:val="21"/>
                      <w:szCs w:val="21"/>
                      <w:lang w:bidi="ar"/>
                    </w:rPr>
                    <w:t>70~90</w:t>
                  </w:r>
                </w:p>
              </w:tc>
            </w:tr>
            <w:tr w14:paraId="2651800A">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226FF798">
                  <w:pPr>
                    <w:pStyle w:val="20"/>
                    <w:ind w:firstLine="0" w:firstLineChars="0"/>
                    <w:jc w:val="center"/>
                    <w:rPr>
                      <w:rFonts w:cs="Times New Roman"/>
                      <w:sz w:val="21"/>
                      <w:szCs w:val="21"/>
                    </w:rPr>
                  </w:pPr>
                  <w:r>
                    <w:rPr>
                      <w:rFonts w:hint="eastAsia" w:cs="宋体"/>
                      <w:sz w:val="21"/>
                      <w:szCs w:val="21"/>
                      <w:lang w:bidi="ar"/>
                    </w:rPr>
                    <w:t>湿塘</w:t>
                  </w:r>
                </w:p>
              </w:tc>
              <w:tc>
                <w:tcPr>
                  <w:tcW w:w="2099" w:type="pct"/>
                  <w:tcBorders>
                    <w:top w:val="single" w:color="auto" w:sz="4" w:space="0"/>
                    <w:left w:val="single" w:color="auto" w:sz="4" w:space="0"/>
                    <w:bottom w:val="single" w:color="auto" w:sz="4" w:space="0"/>
                    <w:right w:val="single" w:color="auto" w:sz="4" w:space="0"/>
                  </w:tcBorders>
                  <w:vAlign w:val="center"/>
                </w:tcPr>
                <w:p w14:paraId="11E677B0">
                  <w:pPr>
                    <w:pStyle w:val="20"/>
                    <w:ind w:firstLine="0" w:firstLineChars="0"/>
                    <w:jc w:val="center"/>
                    <w:rPr>
                      <w:rFonts w:cs="Times New Roman"/>
                      <w:sz w:val="21"/>
                      <w:szCs w:val="21"/>
                    </w:rPr>
                  </w:pPr>
                  <w:r>
                    <w:rPr>
                      <w:rFonts w:cs="Times New Roman"/>
                      <w:sz w:val="21"/>
                      <w:szCs w:val="21"/>
                      <w:lang w:bidi="ar"/>
                    </w:rPr>
                    <w:t>50~80</w:t>
                  </w:r>
                </w:p>
              </w:tc>
              <w:tc>
                <w:tcPr>
                  <w:tcW w:w="1695" w:type="pct"/>
                  <w:tcBorders>
                    <w:top w:val="single" w:color="auto" w:sz="4" w:space="0"/>
                    <w:left w:val="single" w:color="auto" w:sz="4" w:space="0"/>
                    <w:bottom w:val="single" w:color="auto" w:sz="4" w:space="0"/>
                    <w:right w:val="nil"/>
                  </w:tcBorders>
                  <w:vAlign w:val="center"/>
                </w:tcPr>
                <w:p w14:paraId="0F5CE88C">
                  <w:pPr>
                    <w:pStyle w:val="20"/>
                    <w:ind w:firstLine="0" w:firstLineChars="0"/>
                    <w:jc w:val="center"/>
                    <w:rPr>
                      <w:rFonts w:cs="Times New Roman"/>
                      <w:sz w:val="21"/>
                      <w:szCs w:val="21"/>
                    </w:rPr>
                  </w:pPr>
                  <w:r>
                    <w:rPr>
                      <w:rFonts w:cs="Times New Roman"/>
                      <w:sz w:val="21"/>
                      <w:szCs w:val="21"/>
                      <w:lang w:bidi="ar"/>
                    </w:rPr>
                    <w:t>70~90</w:t>
                  </w:r>
                </w:p>
              </w:tc>
            </w:tr>
            <w:tr w14:paraId="6CFD687C">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559E2540">
                  <w:pPr>
                    <w:pStyle w:val="20"/>
                    <w:ind w:firstLine="0" w:firstLineChars="0"/>
                    <w:jc w:val="center"/>
                    <w:rPr>
                      <w:rFonts w:cs="Times New Roman"/>
                      <w:sz w:val="21"/>
                      <w:szCs w:val="21"/>
                    </w:rPr>
                  </w:pPr>
                  <w:r>
                    <w:rPr>
                      <w:rFonts w:hint="eastAsia" w:cs="宋体"/>
                      <w:sz w:val="21"/>
                      <w:szCs w:val="21"/>
                      <w:lang w:bidi="ar"/>
                    </w:rPr>
                    <w:t>雨水湿地</w:t>
                  </w:r>
                </w:p>
              </w:tc>
              <w:tc>
                <w:tcPr>
                  <w:tcW w:w="2099" w:type="pct"/>
                  <w:tcBorders>
                    <w:top w:val="single" w:color="auto" w:sz="4" w:space="0"/>
                    <w:left w:val="single" w:color="auto" w:sz="4" w:space="0"/>
                    <w:bottom w:val="single" w:color="auto" w:sz="4" w:space="0"/>
                    <w:right w:val="single" w:color="auto" w:sz="4" w:space="0"/>
                  </w:tcBorders>
                  <w:vAlign w:val="center"/>
                </w:tcPr>
                <w:p w14:paraId="078E1D13">
                  <w:pPr>
                    <w:pStyle w:val="20"/>
                    <w:ind w:firstLine="0" w:firstLineChars="0"/>
                    <w:jc w:val="center"/>
                    <w:rPr>
                      <w:rFonts w:cs="Times New Roman"/>
                      <w:sz w:val="21"/>
                      <w:szCs w:val="21"/>
                    </w:rPr>
                  </w:pPr>
                  <w:r>
                    <w:rPr>
                      <w:rFonts w:cs="Times New Roman"/>
                      <w:sz w:val="21"/>
                      <w:szCs w:val="21"/>
                      <w:lang w:bidi="ar"/>
                    </w:rPr>
                    <w:t>50~80</w:t>
                  </w:r>
                </w:p>
              </w:tc>
              <w:tc>
                <w:tcPr>
                  <w:tcW w:w="1695" w:type="pct"/>
                  <w:tcBorders>
                    <w:top w:val="single" w:color="auto" w:sz="4" w:space="0"/>
                    <w:left w:val="single" w:color="auto" w:sz="4" w:space="0"/>
                    <w:bottom w:val="single" w:color="auto" w:sz="4" w:space="0"/>
                    <w:right w:val="nil"/>
                  </w:tcBorders>
                  <w:vAlign w:val="center"/>
                </w:tcPr>
                <w:p w14:paraId="0F590694">
                  <w:pPr>
                    <w:pStyle w:val="20"/>
                    <w:ind w:firstLine="0" w:firstLineChars="0"/>
                    <w:jc w:val="center"/>
                    <w:rPr>
                      <w:rFonts w:cs="Times New Roman"/>
                      <w:sz w:val="21"/>
                      <w:szCs w:val="21"/>
                    </w:rPr>
                  </w:pPr>
                  <w:r>
                    <w:rPr>
                      <w:rFonts w:cs="Times New Roman"/>
                      <w:sz w:val="21"/>
                      <w:szCs w:val="21"/>
                      <w:lang w:bidi="ar"/>
                    </w:rPr>
                    <w:t>60~80</w:t>
                  </w:r>
                </w:p>
              </w:tc>
            </w:tr>
            <w:tr w14:paraId="7F6BFF11">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1259DB0F">
                  <w:pPr>
                    <w:pStyle w:val="20"/>
                    <w:ind w:firstLine="0" w:firstLineChars="0"/>
                    <w:jc w:val="center"/>
                    <w:rPr>
                      <w:rFonts w:cs="Times New Roman"/>
                      <w:sz w:val="21"/>
                      <w:szCs w:val="21"/>
                    </w:rPr>
                  </w:pPr>
                  <w:r>
                    <w:rPr>
                      <w:rFonts w:hint="eastAsia" w:cs="宋体"/>
                      <w:sz w:val="21"/>
                      <w:szCs w:val="21"/>
                      <w:lang w:bidi="ar"/>
                    </w:rPr>
                    <w:t>调蓄池</w:t>
                  </w:r>
                </w:p>
              </w:tc>
              <w:tc>
                <w:tcPr>
                  <w:tcW w:w="2099" w:type="pct"/>
                  <w:tcBorders>
                    <w:top w:val="single" w:color="auto" w:sz="4" w:space="0"/>
                    <w:left w:val="single" w:color="auto" w:sz="4" w:space="0"/>
                    <w:bottom w:val="single" w:color="auto" w:sz="4" w:space="0"/>
                    <w:right w:val="single" w:color="auto" w:sz="4" w:space="0"/>
                  </w:tcBorders>
                  <w:vAlign w:val="center"/>
                </w:tcPr>
                <w:p w14:paraId="524C0D15">
                  <w:pPr>
                    <w:pStyle w:val="20"/>
                    <w:ind w:firstLine="0" w:firstLineChars="0"/>
                    <w:jc w:val="center"/>
                    <w:rPr>
                      <w:rFonts w:cs="Times New Roman"/>
                      <w:sz w:val="21"/>
                      <w:szCs w:val="21"/>
                    </w:rPr>
                  </w:pPr>
                  <w:r>
                    <w:rPr>
                      <w:rFonts w:cs="Times New Roman"/>
                      <w:sz w:val="21"/>
                      <w:szCs w:val="21"/>
                      <w:lang w:bidi="ar"/>
                    </w:rPr>
                    <w:t>80~90</w:t>
                  </w:r>
                </w:p>
              </w:tc>
              <w:tc>
                <w:tcPr>
                  <w:tcW w:w="1695" w:type="pct"/>
                  <w:tcBorders>
                    <w:top w:val="single" w:color="auto" w:sz="4" w:space="0"/>
                    <w:left w:val="single" w:color="auto" w:sz="4" w:space="0"/>
                    <w:bottom w:val="single" w:color="auto" w:sz="4" w:space="0"/>
                    <w:right w:val="nil"/>
                  </w:tcBorders>
                  <w:vAlign w:val="center"/>
                </w:tcPr>
                <w:p w14:paraId="7D1B6B66">
                  <w:pPr>
                    <w:pStyle w:val="20"/>
                    <w:ind w:firstLine="0" w:firstLineChars="0"/>
                    <w:jc w:val="center"/>
                    <w:rPr>
                      <w:rFonts w:cs="Times New Roman"/>
                      <w:sz w:val="21"/>
                      <w:szCs w:val="21"/>
                    </w:rPr>
                  </w:pPr>
                  <w:r>
                    <w:rPr>
                      <w:rFonts w:cs="Times New Roman"/>
                      <w:sz w:val="21"/>
                      <w:szCs w:val="21"/>
                      <w:lang w:bidi="ar"/>
                    </w:rPr>
                    <w:t>80~90</w:t>
                  </w:r>
                </w:p>
              </w:tc>
            </w:tr>
            <w:tr w14:paraId="028E1567">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33765456">
                  <w:pPr>
                    <w:pStyle w:val="20"/>
                    <w:ind w:firstLine="0" w:firstLineChars="0"/>
                    <w:jc w:val="center"/>
                    <w:rPr>
                      <w:rFonts w:cs="Times New Roman"/>
                      <w:sz w:val="21"/>
                      <w:szCs w:val="21"/>
                    </w:rPr>
                  </w:pPr>
                  <w:r>
                    <w:rPr>
                      <w:rFonts w:hint="eastAsia" w:cs="宋体"/>
                      <w:sz w:val="21"/>
                      <w:szCs w:val="21"/>
                      <w:lang w:bidi="ar"/>
                    </w:rPr>
                    <w:t>雨水罐</w:t>
                  </w:r>
                </w:p>
              </w:tc>
              <w:tc>
                <w:tcPr>
                  <w:tcW w:w="2099" w:type="pct"/>
                  <w:tcBorders>
                    <w:top w:val="single" w:color="auto" w:sz="4" w:space="0"/>
                    <w:left w:val="single" w:color="auto" w:sz="4" w:space="0"/>
                    <w:bottom w:val="single" w:color="auto" w:sz="4" w:space="0"/>
                    <w:right w:val="single" w:color="auto" w:sz="4" w:space="0"/>
                  </w:tcBorders>
                  <w:vAlign w:val="center"/>
                </w:tcPr>
                <w:p w14:paraId="6417A5B9">
                  <w:pPr>
                    <w:pStyle w:val="20"/>
                    <w:ind w:firstLine="0" w:firstLineChars="0"/>
                    <w:jc w:val="center"/>
                    <w:rPr>
                      <w:rFonts w:cs="Times New Roman"/>
                      <w:sz w:val="21"/>
                      <w:szCs w:val="21"/>
                    </w:rPr>
                  </w:pPr>
                  <w:r>
                    <w:rPr>
                      <w:rFonts w:cs="Times New Roman"/>
                      <w:sz w:val="21"/>
                      <w:szCs w:val="21"/>
                      <w:lang w:bidi="ar"/>
                    </w:rPr>
                    <w:t>80~90</w:t>
                  </w:r>
                </w:p>
              </w:tc>
              <w:tc>
                <w:tcPr>
                  <w:tcW w:w="1695" w:type="pct"/>
                  <w:tcBorders>
                    <w:top w:val="single" w:color="auto" w:sz="4" w:space="0"/>
                    <w:left w:val="single" w:color="auto" w:sz="4" w:space="0"/>
                    <w:bottom w:val="single" w:color="auto" w:sz="4" w:space="0"/>
                    <w:right w:val="nil"/>
                  </w:tcBorders>
                  <w:vAlign w:val="center"/>
                </w:tcPr>
                <w:p w14:paraId="000C0ACF">
                  <w:pPr>
                    <w:pStyle w:val="20"/>
                    <w:ind w:firstLine="0" w:firstLineChars="0"/>
                    <w:jc w:val="center"/>
                    <w:rPr>
                      <w:rFonts w:cs="Times New Roman"/>
                      <w:sz w:val="21"/>
                      <w:szCs w:val="21"/>
                    </w:rPr>
                  </w:pPr>
                  <w:r>
                    <w:rPr>
                      <w:rFonts w:cs="Times New Roman"/>
                      <w:sz w:val="21"/>
                      <w:szCs w:val="21"/>
                      <w:lang w:bidi="ar"/>
                    </w:rPr>
                    <w:t>50~70</w:t>
                  </w:r>
                </w:p>
              </w:tc>
            </w:tr>
            <w:tr w14:paraId="4F4778E5">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65007D14">
                  <w:pPr>
                    <w:pStyle w:val="20"/>
                    <w:ind w:firstLine="0" w:firstLineChars="0"/>
                    <w:jc w:val="center"/>
                    <w:rPr>
                      <w:rFonts w:cs="Times New Roman"/>
                      <w:sz w:val="21"/>
                      <w:szCs w:val="21"/>
                    </w:rPr>
                  </w:pPr>
                  <w:r>
                    <w:rPr>
                      <w:rFonts w:hint="eastAsia" w:cs="宋体"/>
                      <w:sz w:val="21"/>
                      <w:szCs w:val="21"/>
                      <w:lang w:bidi="ar"/>
                    </w:rPr>
                    <w:t>植草沟</w:t>
                  </w:r>
                </w:p>
              </w:tc>
              <w:tc>
                <w:tcPr>
                  <w:tcW w:w="2099" w:type="pct"/>
                  <w:tcBorders>
                    <w:top w:val="single" w:color="auto" w:sz="4" w:space="0"/>
                    <w:left w:val="single" w:color="auto" w:sz="4" w:space="0"/>
                    <w:bottom w:val="single" w:color="auto" w:sz="4" w:space="0"/>
                    <w:right w:val="single" w:color="auto" w:sz="4" w:space="0"/>
                  </w:tcBorders>
                  <w:vAlign w:val="center"/>
                </w:tcPr>
                <w:p w14:paraId="37C4DDA4">
                  <w:pPr>
                    <w:pStyle w:val="20"/>
                    <w:ind w:firstLine="0" w:firstLineChars="0"/>
                    <w:jc w:val="center"/>
                    <w:rPr>
                      <w:rFonts w:cs="Times New Roman"/>
                      <w:sz w:val="21"/>
                      <w:szCs w:val="21"/>
                    </w:rPr>
                  </w:pPr>
                  <w:r>
                    <w:rPr>
                      <w:rFonts w:cs="Times New Roman"/>
                      <w:sz w:val="21"/>
                      <w:szCs w:val="21"/>
                      <w:lang w:bidi="ar"/>
                    </w:rPr>
                    <w:t>35~90</w:t>
                  </w:r>
                </w:p>
              </w:tc>
              <w:tc>
                <w:tcPr>
                  <w:tcW w:w="1695" w:type="pct"/>
                  <w:tcBorders>
                    <w:top w:val="single" w:color="auto" w:sz="4" w:space="0"/>
                    <w:left w:val="single" w:color="auto" w:sz="4" w:space="0"/>
                    <w:bottom w:val="single" w:color="auto" w:sz="4" w:space="0"/>
                    <w:right w:val="nil"/>
                  </w:tcBorders>
                  <w:vAlign w:val="center"/>
                </w:tcPr>
                <w:p w14:paraId="415A35B5">
                  <w:pPr>
                    <w:pStyle w:val="20"/>
                    <w:ind w:firstLine="0" w:firstLineChars="0"/>
                    <w:jc w:val="center"/>
                    <w:rPr>
                      <w:rFonts w:cs="Times New Roman"/>
                      <w:sz w:val="21"/>
                      <w:szCs w:val="21"/>
                    </w:rPr>
                  </w:pPr>
                  <w:r>
                    <w:rPr>
                      <w:rFonts w:cs="Times New Roman"/>
                      <w:sz w:val="21"/>
                      <w:szCs w:val="21"/>
                      <w:lang w:bidi="ar"/>
                    </w:rPr>
                    <w:t>35~90</w:t>
                  </w:r>
                </w:p>
              </w:tc>
            </w:tr>
            <w:tr w14:paraId="62638139">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PrEx>
              <w:trPr>
                <w:trHeight w:val="64" w:hRule="atLeast"/>
              </w:trPr>
              <w:tc>
                <w:tcPr>
                  <w:tcW w:w="1204" w:type="pct"/>
                  <w:tcBorders>
                    <w:top w:val="single" w:color="auto" w:sz="4" w:space="0"/>
                    <w:left w:val="nil"/>
                    <w:bottom w:val="single" w:color="auto" w:sz="4" w:space="0"/>
                    <w:right w:val="single" w:color="auto" w:sz="4" w:space="0"/>
                  </w:tcBorders>
                  <w:vAlign w:val="center"/>
                </w:tcPr>
                <w:p w14:paraId="680EABCB">
                  <w:pPr>
                    <w:pStyle w:val="20"/>
                    <w:ind w:firstLine="0" w:firstLineChars="0"/>
                    <w:jc w:val="center"/>
                    <w:rPr>
                      <w:rFonts w:cs="Times New Roman"/>
                      <w:sz w:val="21"/>
                      <w:szCs w:val="21"/>
                    </w:rPr>
                  </w:pPr>
                  <w:r>
                    <w:rPr>
                      <w:rFonts w:hint="eastAsia" w:cs="宋体"/>
                      <w:sz w:val="21"/>
                      <w:szCs w:val="21"/>
                      <w:lang w:bidi="ar"/>
                    </w:rPr>
                    <w:t>植被缓冲带</w:t>
                  </w:r>
                </w:p>
              </w:tc>
              <w:tc>
                <w:tcPr>
                  <w:tcW w:w="2099" w:type="pct"/>
                  <w:tcBorders>
                    <w:top w:val="single" w:color="auto" w:sz="4" w:space="0"/>
                    <w:left w:val="single" w:color="auto" w:sz="4" w:space="0"/>
                    <w:bottom w:val="single" w:color="auto" w:sz="4" w:space="0"/>
                    <w:right w:val="single" w:color="auto" w:sz="4" w:space="0"/>
                  </w:tcBorders>
                  <w:vAlign w:val="center"/>
                </w:tcPr>
                <w:p w14:paraId="3E6BBC8C">
                  <w:pPr>
                    <w:pStyle w:val="20"/>
                    <w:ind w:firstLine="0" w:firstLineChars="0"/>
                    <w:jc w:val="center"/>
                    <w:rPr>
                      <w:rFonts w:cs="Times New Roman"/>
                      <w:sz w:val="21"/>
                      <w:szCs w:val="21"/>
                    </w:rPr>
                  </w:pPr>
                  <w:r>
                    <w:rPr>
                      <w:rFonts w:cs="Times New Roman"/>
                      <w:sz w:val="21"/>
                      <w:szCs w:val="21"/>
                      <w:lang w:bidi="ar"/>
                    </w:rPr>
                    <w:t>50~75</w:t>
                  </w:r>
                </w:p>
              </w:tc>
              <w:tc>
                <w:tcPr>
                  <w:tcW w:w="1695" w:type="pct"/>
                  <w:tcBorders>
                    <w:top w:val="single" w:color="auto" w:sz="4" w:space="0"/>
                    <w:left w:val="single" w:color="auto" w:sz="4" w:space="0"/>
                    <w:bottom w:val="single" w:color="auto" w:sz="4" w:space="0"/>
                    <w:right w:val="nil"/>
                  </w:tcBorders>
                  <w:vAlign w:val="center"/>
                </w:tcPr>
                <w:p w14:paraId="13565162">
                  <w:pPr>
                    <w:pStyle w:val="20"/>
                    <w:ind w:firstLine="0" w:firstLineChars="0"/>
                    <w:jc w:val="center"/>
                    <w:rPr>
                      <w:rFonts w:cs="Times New Roman"/>
                      <w:sz w:val="21"/>
                      <w:szCs w:val="21"/>
                    </w:rPr>
                  </w:pPr>
                  <w:r>
                    <w:rPr>
                      <w:rFonts w:cs="Times New Roman"/>
                      <w:sz w:val="21"/>
                      <w:szCs w:val="21"/>
                      <w:lang w:bidi="ar"/>
                    </w:rPr>
                    <w:t>50~75</w:t>
                  </w:r>
                </w:p>
              </w:tc>
            </w:tr>
            <w:tr w14:paraId="58A3FFCF">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04" w:type="pct"/>
                  <w:tcBorders>
                    <w:top w:val="single" w:color="auto" w:sz="4" w:space="0"/>
                    <w:left w:val="nil"/>
                    <w:bottom w:val="single" w:color="auto" w:sz="8" w:space="0"/>
                    <w:right w:val="single" w:color="auto" w:sz="4" w:space="0"/>
                  </w:tcBorders>
                  <w:vAlign w:val="center"/>
                </w:tcPr>
                <w:p w14:paraId="7803393A">
                  <w:pPr>
                    <w:pStyle w:val="35"/>
                    <w:spacing w:line="240" w:lineRule="auto"/>
                    <w:jc w:val="center"/>
                    <w:rPr>
                      <w:szCs w:val="21"/>
                    </w:rPr>
                  </w:pPr>
                  <w:r>
                    <w:rPr>
                      <w:rFonts w:hint="eastAsia"/>
                      <w:szCs w:val="21"/>
                    </w:rPr>
                    <w:t>初期雨水弃流设施</w:t>
                  </w:r>
                </w:p>
              </w:tc>
              <w:tc>
                <w:tcPr>
                  <w:tcW w:w="2099" w:type="pct"/>
                  <w:tcBorders>
                    <w:top w:val="single" w:color="auto" w:sz="4" w:space="0"/>
                    <w:left w:val="single" w:color="auto" w:sz="4" w:space="0"/>
                    <w:bottom w:val="single" w:color="auto" w:sz="8" w:space="0"/>
                    <w:right w:val="single" w:color="auto" w:sz="4" w:space="0"/>
                  </w:tcBorders>
                  <w:vAlign w:val="center"/>
                </w:tcPr>
                <w:p w14:paraId="55B8766A">
                  <w:pPr>
                    <w:pStyle w:val="35"/>
                    <w:spacing w:line="240" w:lineRule="auto"/>
                    <w:jc w:val="center"/>
                    <w:rPr>
                      <w:szCs w:val="21"/>
                    </w:rPr>
                  </w:pPr>
                  <w:r>
                    <w:rPr>
                      <w:rFonts w:hint="eastAsia"/>
                      <w:szCs w:val="21"/>
                    </w:rPr>
                    <w:t>4</w:t>
                  </w:r>
                  <w:r>
                    <w:rPr>
                      <w:szCs w:val="21"/>
                    </w:rPr>
                    <w:t>0</w:t>
                  </w:r>
                  <w:r>
                    <w:rPr>
                      <w:rFonts w:hint="eastAsia"/>
                      <w:szCs w:val="21"/>
                    </w:rPr>
                    <w:t>~60</w:t>
                  </w:r>
                </w:p>
              </w:tc>
              <w:tc>
                <w:tcPr>
                  <w:tcW w:w="1695" w:type="pct"/>
                  <w:tcBorders>
                    <w:top w:val="single" w:color="auto" w:sz="4" w:space="0"/>
                    <w:left w:val="single" w:color="auto" w:sz="4" w:space="0"/>
                    <w:bottom w:val="single" w:color="auto" w:sz="8" w:space="0"/>
                    <w:right w:val="nil"/>
                  </w:tcBorders>
                  <w:vAlign w:val="center"/>
                </w:tcPr>
                <w:p w14:paraId="553671D6">
                  <w:pPr>
                    <w:pStyle w:val="35"/>
                    <w:spacing w:line="240" w:lineRule="auto"/>
                    <w:jc w:val="center"/>
                    <w:rPr>
                      <w:szCs w:val="21"/>
                    </w:rPr>
                  </w:pPr>
                  <w:r>
                    <w:rPr>
                      <w:rFonts w:hint="eastAsia"/>
                      <w:szCs w:val="21"/>
                    </w:rPr>
                    <w:t>40~60</w:t>
                  </w:r>
                </w:p>
              </w:tc>
            </w:tr>
          </w:tbl>
          <w:p w14:paraId="42FC1A53">
            <w:pPr>
              <w:pStyle w:val="20"/>
              <w:tabs>
                <w:tab w:val="left" w:pos="0"/>
              </w:tabs>
              <w:ind w:firstLine="0" w:firstLineChars="0"/>
              <w:rPr>
                <w:rFonts w:cs="Times New Roman"/>
                <w:sz w:val="18"/>
                <w:szCs w:val="18"/>
              </w:rPr>
            </w:pPr>
            <w:r>
              <w:rPr>
                <w:rFonts w:hint="eastAsia" w:cs="宋体"/>
                <w:sz w:val="18"/>
                <w:szCs w:val="18"/>
                <w:lang w:bidi="ar"/>
              </w:rPr>
              <w:t>注：</w:t>
            </w:r>
            <w:r>
              <w:rPr>
                <w:rFonts w:cs="Times New Roman"/>
                <w:sz w:val="18"/>
                <w:szCs w:val="18"/>
                <w:lang w:bidi="ar"/>
              </w:rPr>
              <w:t xml:space="preserve">1 </w:t>
            </w:r>
            <w:r>
              <w:rPr>
                <w:rFonts w:hint="eastAsia" w:cs="宋体"/>
                <w:sz w:val="18"/>
                <w:szCs w:val="18"/>
                <w:lang w:bidi="ar"/>
              </w:rPr>
              <w:t>若单位面积的海绵城市设施的汇水区较大，径流污染去除率宜取低值。</w:t>
            </w:r>
          </w:p>
          <w:p w14:paraId="083776EA">
            <w:pPr>
              <w:pStyle w:val="20"/>
              <w:tabs>
                <w:tab w:val="left" w:pos="0"/>
              </w:tabs>
              <w:ind w:firstLine="360"/>
              <w:rPr>
                <w:rFonts w:hint="eastAsia" w:eastAsia="宋体" w:cs="宋体"/>
                <w:sz w:val="18"/>
                <w:szCs w:val="18"/>
                <w:lang w:eastAsia="zh-CN" w:bidi="ar"/>
              </w:rPr>
            </w:pPr>
            <w:r>
              <w:rPr>
                <w:rFonts w:cs="Times New Roman"/>
                <w:sz w:val="18"/>
                <w:szCs w:val="18"/>
                <w:lang w:bidi="ar"/>
              </w:rPr>
              <w:t xml:space="preserve">2 </w:t>
            </w:r>
            <w:r>
              <w:rPr>
                <w:rFonts w:hint="eastAsia" w:cs="宋体"/>
                <w:sz w:val="18"/>
                <w:szCs w:val="18"/>
                <w:lang w:bidi="ar"/>
              </w:rPr>
              <w:t>转输型植草沟的径流污染去除率宜取低值，转输兼入渗性植草沟的径流污染控制率可取高值</w:t>
            </w:r>
            <w:r>
              <w:rPr>
                <w:rFonts w:hint="eastAsia" w:cs="宋体"/>
                <w:sz w:val="18"/>
                <w:szCs w:val="18"/>
                <w:lang w:eastAsia="zh-CN" w:bidi="ar"/>
              </w:rPr>
              <w:t>。</w:t>
            </w:r>
          </w:p>
          <w:p w14:paraId="583C1A14">
            <w:pPr>
              <w:pStyle w:val="35"/>
              <w:tabs>
                <w:tab w:val="left" w:pos="0"/>
              </w:tabs>
              <w:rPr>
                <w:rFonts w:cstheme="minorEastAsia"/>
                <w:bCs/>
                <w:szCs w:val="21"/>
              </w:rPr>
            </w:pPr>
            <w:r>
              <w:rPr>
                <w:rFonts w:hint="eastAsia" w:cstheme="minorEastAsia"/>
                <w:bCs/>
                <w:szCs w:val="21"/>
              </w:rPr>
              <w:t xml:space="preserve">6.2.5 径流峰值控制的调蓄量应符合下列规定： </w:t>
            </w:r>
          </w:p>
          <w:p w14:paraId="5131388C">
            <w:pPr>
              <w:pStyle w:val="35"/>
              <w:tabs>
                <w:tab w:val="left" w:pos="0"/>
              </w:tabs>
              <w:ind w:firstLine="420" w:firstLineChars="200"/>
              <w:rPr>
                <w:rFonts w:cstheme="minorEastAsia"/>
                <w:bCs/>
                <w:szCs w:val="21"/>
              </w:rPr>
            </w:pPr>
            <w:r>
              <w:rPr>
                <w:rFonts w:hint="eastAsia" w:cstheme="minorEastAsia"/>
                <w:bCs/>
                <w:szCs w:val="21"/>
              </w:rPr>
              <w:t>1 根据调蓄设施上下游设计流量，调蓄量可按下式计算，并宜采用模型进行校核：</w:t>
            </w:r>
          </w:p>
          <w:p w14:paraId="33714B04">
            <w:pPr>
              <w:pStyle w:val="35"/>
              <w:tabs>
                <w:tab w:val="left" w:pos="0"/>
              </w:tabs>
              <w:rPr>
                <w:rFonts w:eastAsiaTheme="minorEastAsia" w:cstheme="minorEastAsia"/>
                <w:bCs/>
                <w:i/>
                <w:szCs w:val="21"/>
              </w:rPr>
            </w:pPr>
            <m:oMathPara>
              <m:oMathParaPr>
                <m:jc m:val="center"/>
              </m:oMathParaPr>
              <m:oMath>
                <m:r>
                  <m:rPr/>
                  <w:rPr>
                    <w:rFonts w:ascii="Cambria Math" w:hAnsi="Cambria Math" w:eastAsia="Cambria Math" w:cs="Cambria Math"/>
                    <w:szCs w:val="21"/>
                  </w:rPr>
                  <m:t>V</m:t>
                </m:r>
                <m:r>
                  <m:rPr>
                    <m:sty m:val="p"/>
                  </m:rPr>
                  <w:rPr>
                    <w:rFonts w:ascii="Cambria Math" w:hAnsi="Cambria Math" w:eastAsia="Cambria Math" w:cs="Cambria Math"/>
                    <w:szCs w:val="21"/>
                  </w:rPr>
                  <m:t>=6</m:t>
                </m:r>
                <m:r>
                  <m:rPr>
                    <m:sty m:val="p"/>
                  </m:rPr>
                  <w:rPr>
                    <w:rFonts w:ascii="Cambria Math" w:hAnsi="Cambria Math" w:cs="Cambria Math" w:eastAsiaTheme="minorEastAsia"/>
                    <w:szCs w:val="21"/>
                  </w:rPr>
                  <m:t>0</m:t>
                </m:r>
                <m:d>
                  <m:dPr>
                    <m:begChr m:val="["/>
                    <m:endChr m:val="]"/>
                    <m:ctrlPr>
                      <w:rPr>
                        <w:rFonts w:ascii="Cambria Math" w:hAnsi="Cambria Math" w:eastAsiaTheme="minorEastAsia" w:cstheme="minorEastAsia"/>
                        <w:bCs/>
                        <w:i/>
                        <w:szCs w:val="21"/>
                      </w:rPr>
                    </m:ctrlPr>
                  </m:dPr>
                  <m:e>
                    <m:r>
                      <m:rPr>
                        <m:sty m:val="p"/>
                      </m:rPr>
                      <w:rPr>
                        <w:rFonts w:ascii="Cambria Math" w:hAnsi="Cambria Math" w:cs="Cambria Math" w:eastAsiaTheme="minorEastAsia"/>
                        <w:szCs w:val="21"/>
                      </w:rPr>
                      <m:t>−</m:t>
                    </m:r>
                    <m:d>
                      <m:dPr>
                        <m:ctrlPr>
                          <w:rPr>
                            <w:rFonts w:ascii="Cambria Math" w:hAnsi="Cambria Math" w:cs="Cambria Math" w:eastAsiaTheme="minorEastAsia"/>
                            <w:bCs/>
                            <w:szCs w:val="21"/>
                          </w:rPr>
                        </m:ctrlPr>
                      </m:dPr>
                      <m:e>
                        <m:f>
                          <m:fPr>
                            <m:ctrlPr>
                              <w:rPr>
                                <w:rFonts w:ascii="Cambria Math" w:hAnsi="Cambria Math" w:eastAsia="Cambria Math" w:cstheme="minorEastAsia"/>
                                <w:bCs/>
                                <w:szCs w:val="21"/>
                              </w:rPr>
                            </m:ctrlPr>
                          </m:fPr>
                          <m:num>
                            <m:r>
                              <m:rPr>
                                <m:sty m:val="p"/>
                              </m:rPr>
                              <w:rPr>
                                <w:rFonts w:ascii="Cambria Math" w:hAnsi="Cambria Math" w:eastAsia="Cambria Math" w:cs="Cambria Math"/>
                                <w:szCs w:val="21"/>
                              </w:rPr>
                              <m:t>0</m:t>
                            </m:r>
                            <m:r>
                              <m:rPr/>
                              <w:rPr>
                                <w:rFonts w:ascii="Cambria Math" w:hAnsi="Cambria Math" w:cs="Cambria Math" w:eastAsiaTheme="minorEastAsia"/>
                                <w:szCs w:val="21"/>
                              </w:rPr>
                              <m:t>.65</m:t>
                            </m:r>
                            <m:ctrlPr>
                              <w:rPr>
                                <w:rFonts w:ascii="Cambria Math" w:hAnsi="Cambria Math" w:eastAsia="Cambria Math" w:cstheme="minorEastAsia"/>
                                <w:bCs/>
                                <w:szCs w:val="21"/>
                              </w:rPr>
                            </m:ctrlPr>
                          </m:num>
                          <m:den>
                            <m:sSup>
                              <m:sSupPr>
                                <m:ctrlPr>
                                  <w:rPr>
                                    <w:rFonts w:ascii="Cambria Math" w:hAnsi="Cambria Math" w:eastAsia="Cambria Math" w:cstheme="minorEastAsia"/>
                                    <w:bCs/>
                                    <w:i/>
                                    <w:szCs w:val="21"/>
                                  </w:rPr>
                                </m:ctrlPr>
                              </m:sSupPr>
                              <m:e>
                                <m:r>
                                  <m:rPr/>
                                  <w:rPr>
                                    <w:rFonts w:ascii="Cambria Math" w:hAnsi="Cambria Math" w:eastAsia="Cambria Math" w:cstheme="minorEastAsia"/>
                                    <w:szCs w:val="21"/>
                                  </w:rPr>
                                  <m:t>n</m:t>
                                </m:r>
                                <m:ctrlPr>
                                  <w:rPr>
                                    <w:rFonts w:ascii="Cambria Math" w:hAnsi="Cambria Math" w:eastAsia="Cambria Math" w:cstheme="minorEastAsia"/>
                                    <w:bCs/>
                                    <w:i/>
                                    <w:szCs w:val="21"/>
                                  </w:rPr>
                                </m:ctrlPr>
                              </m:e>
                              <m:sup>
                                <m:r>
                                  <m:rPr/>
                                  <w:rPr>
                                    <w:rFonts w:ascii="Cambria Math" w:hAnsi="Cambria Math" w:eastAsia="Cambria Math" w:cstheme="minorEastAsia"/>
                                    <w:szCs w:val="21"/>
                                  </w:rPr>
                                  <m:t>1</m:t>
                                </m:r>
                                <m:r>
                                  <m:rPr/>
                                  <w:rPr>
                                    <w:rFonts w:ascii="Cambria Math" w:hAnsi="Cambria Math" w:eastAsiaTheme="minorEastAsia" w:cstheme="minorEastAsia"/>
                                    <w:szCs w:val="21"/>
                                  </w:rPr>
                                  <m:t>.2</m:t>
                                </m:r>
                                <m:ctrlPr>
                                  <w:rPr>
                                    <w:rFonts w:ascii="Cambria Math" w:hAnsi="Cambria Math" w:eastAsia="Cambria Math" w:cstheme="minorEastAsia"/>
                                    <w:bCs/>
                                    <w:i/>
                                    <w:szCs w:val="21"/>
                                  </w:rPr>
                                </m:ctrlPr>
                              </m:sup>
                            </m:sSup>
                            <m:ctrlPr>
                              <w:rPr>
                                <w:rFonts w:ascii="Cambria Math" w:hAnsi="Cambria Math" w:eastAsia="Cambria Math" w:cstheme="minorEastAsia"/>
                                <w:bCs/>
                                <w:szCs w:val="21"/>
                              </w:rPr>
                            </m:ctrlPr>
                          </m:den>
                        </m:f>
                        <m:r>
                          <m:rPr/>
                          <w:rPr>
                            <w:rFonts w:ascii="Cambria Math" w:hAnsi="Cambria Math" w:eastAsia="Cambria Math" w:cstheme="minorEastAsia"/>
                            <w:szCs w:val="21"/>
                          </w:rPr>
                          <m:t>+</m:t>
                        </m:r>
                        <m:f>
                          <m:fPr>
                            <m:ctrlPr>
                              <w:rPr>
                                <w:rFonts w:ascii="Cambria Math" w:hAnsi="Cambria Math" w:eastAsia="Cambria Math" w:cstheme="minorEastAsia"/>
                                <w:bCs/>
                                <w:szCs w:val="21"/>
                              </w:rPr>
                            </m:ctrlPr>
                          </m:fPr>
                          <m:num>
                            <m:r>
                              <m:rPr>
                                <m:sty m:val="p"/>
                              </m:rPr>
                              <w:rPr>
                                <w:rFonts w:ascii="Cambria Math" w:hAnsi="Cambria Math" w:eastAsia="Cambria Math" w:cs="Cambria Math"/>
                                <w:szCs w:val="21"/>
                              </w:rPr>
                              <m:t>b</m:t>
                            </m:r>
                            <m:ctrlPr>
                              <w:rPr>
                                <w:rFonts w:ascii="Cambria Math" w:hAnsi="Cambria Math" w:eastAsia="Cambria Math" w:cstheme="minorEastAsia"/>
                                <w:bCs/>
                                <w:szCs w:val="21"/>
                              </w:rPr>
                            </m:ctrlPr>
                          </m:num>
                          <m:den>
                            <m:r>
                              <m:rPr/>
                              <w:rPr>
                                <w:rFonts w:ascii="Cambria Math" w:hAnsi="Cambria Math" w:eastAsia="Cambria Math" w:cstheme="minorEastAsia"/>
                                <w:szCs w:val="21"/>
                              </w:rPr>
                              <m:t>t</m:t>
                            </m:r>
                            <m:ctrlPr>
                              <w:rPr>
                                <w:rFonts w:ascii="Cambria Math" w:hAnsi="Cambria Math" w:eastAsia="Cambria Math" w:cstheme="minorEastAsia"/>
                                <w:bCs/>
                                <w:szCs w:val="21"/>
                              </w:rPr>
                            </m:ctrlPr>
                          </m:den>
                        </m:f>
                        <m:r>
                          <m:rPr/>
                          <w:rPr>
                            <w:rFonts w:ascii="Cambria Math" w:hAnsi="Cambria Math" w:eastAsia="Cambria Math" w:cstheme="minorEastAsia"/>
                            <w:szCs w:val="21"/>
                          </w:rPr>
                          <m:t>∙</m:t>
                        </m:r>
                        <m:f>
                          <m:fPr>
                            <m:ctrlPr>
                              <w:rPr>
                                <w:rFonts w:ascii="Cambria Math" w:hAnsi="Cambria Math" w:eastAsia="Cambria Math" w:cstheme="minorEastAsia"/>
                                <w:bCs/>
                                <w:szCs w:val="21"/>
                              </w:rPr>
                            </m:ctrlPr>
                          </m:fPr>
                          <m:num>
                            <m:r>
                              <m:rPr/>
                              <w:rPr>
                                <w:rFonts w:ascii="Cambria Math" w:hAnsi="Cambria Math" w:eastAsia="Cambria Math" w:cstheme="minorEastAsia"/>
                                <w:szCs w:val="21"/>
                              </w:rPr>
                              <m:t>0</m:t>
                            </m:r>
                            <m:r>
                              <m:rPr/>
                              <w:rPr>
                                <w:rFonts w:ascii="Cambria Math" w:hAnsi="Cambria Math" w:eastAsiaTheme="minorEastAsia" w:cstheme="minorEastAsia"/>
                                <w:szCs w:val="21"/>
                              </w:rPr>
                              <m:t>.5</m:t>
                            </m:r>
                            <m:ctrlPr>
                              <w:rPr>
                                <w:rFonts w:ascii="Cambria Math" w:hAnsi="Cambria Math" w:eastAsia="Cambria Math" w:cstheme="minorEastAsia"/>
                                <w:bCs/>
                                <w:szCs w:val="21"/>
                              </w:rPr>
                            </m:ctrlPr>
                          </m:num>
                          <m:den>
                            <m:r>
                              <m:rPr/>
                              <w:rPr>
                                <w:rFonts w:ascii="Cambria Math" w:hAnsi="Cambria Math" w:eastAsia="Cambria Math" w:cstheme="minorEastAsia"/>
                                <w:szCs w:val="21"/>
                              </w:rPr>
                              <m:t>n</m:t>
                            </m:r>
                            <m:r>
                              <m:rPr/>
                              <w:rPr>
                                <w:rFonts w:ascii="Cambria Math" w:hAnsi="Cambria Math" w:eastAsiaTheme="minorEastAsia" w:cstheme="minorEastAsia"/>
                                <w:szCs w:val="21"/>
                              </w:rPr>
                              <m:t>+0.2</m:t>
                            </m:r>
                            <m:ctrlPr>
                              <w:rPr>
                                <w:rFonts w:ascii="Cambria Math" w:hAnsi="Cambria Math" w:eastAsia="Cambria Math" w:cstheme="minorEastAsia"/>
                                <w:bCs/>
                                <w:szCs w:val="21"/>
                              </w:rPr>
                            </m:ctrlPr>
                          </m:den>
                        </m:f>
                        <m:r>
                          <m:rPr/>
                          <w:rPr>
                            <w:rFonts w:ascii="Cambria Math" w:hAnsi="Cambria Math" w:eastAsia="Cambria Math" w:cstheme="minorEastAsia"/>
                            <w:szCs w:val="21"/>
                          </w:rPr>
                          <m:t>+</m:t>
                        </m:r>
                        <m:r>
                          <m:rPr/>
                          <w:rPr>
                            <w:rFonts w:ascii="Cambria Math" w:hAnsi="Cambria Math" w:eastAsiaTheme="minorEastAsia" w:cstheme="minorEastAsia"/>
                            <w:szCs w:val="21"/>
                          </w:rPr>
                          <m:t>1.10</m:t>
                        </m:r>
                        <m:ctrlPr>
                          <w:rPr>
                            <w:rFonts w:ascii="Cambria Math" w:hAnsi="Cambria Math" w:cs="Cambria Math" w:eastAsiaTheme="minorEastAsia"/>
                            <w:bCs/>
                            <w:szCs w:val="21"/>
                          </w:rPr>
                        </m:ctrlPr>
                      </m:e>
                    </m:d>
                    <m:r>
                      <m:rPr/>
                      <w:rPr>
                        <w:rFonts w:ascii="Cambria Math" w:hAnsi="Cambria Math" w:cs="Cambria Math" w:eastAsiaTheme="minorEastAsia"/>
                        <w:szCs w:val="21"/>
                      </w:rPr>
                      <m:t>∙</m:t>
                    </m:r>
                    <m:func>
                      <m:funcPr>
                        <m:ctrlPr>
                          <w:rPr>
                            <w:rFonts w:ascii="Cambria Math" w:hAnsi="Cambria Math" w:cs="Cambria Math" w:eastAsiaTheme="minorEastAsia"/>
                            <w:bCs/>
                            <w:szCs w:val="21"/>
                          </w:rPr>
                        </m:ctrlPr>
                      </m:funcPr>
                      <m:fName>
                        <m:r>
                          <m:rPr>
                            <m:sty m:val="p"/>
                          </m:rPr>
                          <w:rPr>
                            <w:rFonts w:ascii="Cambria Math" w:hAnsi="Cambria Math" w:cs="Cambria Math" w:eastAsiaTheme="minorEastAsia"/>
                            <w:szCs w:val="21"/>
                          </w:rPr>
                          <m:t>lg</m:t>
                        </m:r>
                        <m:ctrlPr>
                          <w:rPr>
                            <w:rFonts w:ascii="Cambria Math" w:hAnsi="Cambria Math" w:cs="Cambria Math" w:eastAsiaTheme="minorEastAsia"/>
                            <w:bCs/>
                            <w:i/>
                            <w:szCs w:val="21"/>
                          </w:rPr>
                        </m:ctrlPr>
                      </m:fName>
                      <m:e>
                        <m:d>
                          <m:dPr>
                            <m:ctrlPr>
                              <w:rPr>
                                <w:rFonts w:ascii="Cambria Math" w:hAnsi="Cambria Math" w:cs="Cambria Math" w:eastAsiaTheme="minorEastAsia"/>
                                <w:bCs/>
                                <w:szCs w:val="21"/>
                              </w:rPr>
                            </m:ctrlPr>
                          </m:dPr>
                          <m:e>
                            <m:r>
                              <m:rPr>
                                <m:sty m:val="p"/>
                              </m:rPr>
                              <w:rPr>
                                <w:rFonts w:ascii="Cambria Math" w:hAnsi="Cambria Math" w:cs="Cambria Math" w:eastAsiaTheme="minorEastAsia"/>
                                <w:szCs w:val="21"/>
                              </w:rPr>
                              <m:t>α+0.3</m:t>
                            </m:r>
                            <m:ctrlPr>
                              <w:rPr>
                                <w:rFonts w:ascii="Cambria Math" w:hAnsi="Cambria Math" w:cs="Cambria Math" w:eastAsiaTheme="minorEastAsia"/>
                                <w:bCs/>
                                <w:szCs w:val="21"/>
                              </w:rPr>
                            </m:ctrlPr>
                          </m:e>
                        </m:d>
                        <m:ctrlPr>
                          <w:rPr>
                            <w:rFonts w:ascii="Cambria Math" w:hAnsi="Cambria Math" w:cs="Cambria Math" w:eastAsiaTheme="minorEastAsia"/>
                            <w:bCs/>
                            <w:szCs w:val="21"/>
                          </w:rPr>
                        </m:ctrlPr>
                      </m:e>
                    </m:func>
                    <m:r>
                      <m:rPr>
                        <m:sty m:val="p"/>
                      </m:rPr>
                      <w:rPr>
                        <w:rFonts w:ascii="Cambria Math" w:hAnsi="Cambria Math" w:cs="Cambria Math" w:eastAsiaTheme="minorEastAsia"/>
                        <w:szCs w:val="21"/>
                      </w:rPr>
                      <m:t>+</m:t>
                    </m:r>
                    <m:f>
                      <m:fPr>
                        <m:ctrlPr>
                          <w:rPr>
                            <w:rFonts w:ascii="Cambria Math" w:hAnsi="Cambria Math" w:eastAsia="Cambria Math" w:cstheme="minorEastAsia"/>
                            <w:bCs/>
                            <w:szCs w:val="21"/>
                          </w:rPr>
                        </m:ctrlPr>
                      </m:fPr>
                      <m:num>
                        <m:r>
                          <m:rPr>
                            <m:sty m:val="p"/>
                          </m:rPr>
                          <w:rPr>
                            <w:rFonts w:ascii="Cambria Math" w:hAnsi="Cambria Math" w:eastAsia="Cambria Math" w:cs="Cambria Math"/>
                            <w:szCs w:val="21"/>
                          </w:rPr>
                          <m:t>0</m:t>
                        </m:r>
                        <m:r>
                          <m:rPr/>
                          <w:rPr>
                            <w:rFonts w:ascii="Cambria Math" w:hAnsi="Cambria Math" w:cs="Cambria Math" w:eastAsiaTheme="minorEastAsia"/>
                            <w:szCs w:val="21"/>
                          </w:rPr>
                          <m:t>.215</m:t>
                        </m:r>
                        <m:ctrlPr>
                          <w:rPr>
                            <w:rFonts w:ascii="Cambria Math" w:hAnsi="Cambria Math" w:eastAsia="Cambria Math" w:cstheme="minorEastAsia"/>
                            <w:bCs/>
                            <w:szCs w:val="21"/>
                          </w:rPr>
                        </m:ctrlPr>
                      </m:num>
                      <m:den>
                        <m:sSup>
                          <m:sSupPr>
                            <m:ctrlPr>
                              <w:rPr>
                                <w:rFonts w:ascii="Cambria Math" w:hAnsi="Cambria Math" w:eastAsia="Cambria Math" w:cstheme="minorEastAsia"/>
                                <w:bCs/>
                                <w:i/>
                                <w:szCs w:val="21"/>
                              </w:rPr>
                            </m:ctrlPr>
                          </m:sSupPr>
                          <m:e>
                            <m:r>
                              <m:rPr/>
                              <w:rPr>
                                <w:rFonts w:ascii="Cambria Math" w:hAnsi="Cambria Math" w:eastAsia="Cambria Math" w:cstheme="minorEastAsia"/>
                                <w:szCs w:val="21"/>
                              </w:rPr>
                              <m:t>n</m:t>
                            </m:r>
                            <m:ctrlPr>
                              <w:rPr>
                                <w:rFonts w:ascii="Cambria Math" w:hAnsi="Cambria Math" w:eastAsia="Cambria Math" w:cstheme="minorEastAsia"/>
                                <w:bCs/>
                                <w:i/>
                                <w:szCs w:val="21"/>
                              </w:rPr>
                            </m:ctrlPr>
                          </m:e>
                          <m:sup>
                            <m:r>
                              <m:rPr/>
                              <w:rPr>
                                <w:rFonts w:ascii="Cambria Math" w:hAnsi="Cambria Math" w:eastAsia="Cambria Math" w:cstheme="minorEastAsia"/>
                                <w:szCs w:val="21"/>
                              </w:rPr>
                              <m:t>0</m:t>
                            </m:r>
                            <m:r>
                              <m:rPr/>
                              <w:rPr>
                                <w:rFonts w:ascii="Cambria Math" w:hAnsi="Cambria Math" w:eastAsiaTheme="minorEastAsia" w:cstheme="minorEastAsia"/>
                                <w:szCs w:val="21"/>
                              </w:rPr>
                              <m:t>.15</m:t>
                            </m:r>
                            <m:ctrlPr>
                              <w:rPr>
                                <w:rFonts w:ascii="Cambria Math" w:hAnsi="Cambria Math" w:eastAsia="Cambria Math" w:cstheme="minorEastAsia"/>
                                <w:bCs/>
                                <w:i/>
                                <w:szCs w:val="21"/>
                              </w:rPr>
                            </m:ctrlPr>
                          </m:sup>
                        </m:sSup>
                        <m:ctrlPr>
                          <w:rPr>
                            <w:rFonts w:ascii="Cambria Math" w:hAnsi="Cambria Math" w:eastAsia="Cambria Math" w:cstheme="minorEastAsia"/>
                            <w:bCs/>
                            <w:szCs w:val="21"/>
                          </w:rPr>
                        </m:ctrlPr>
                      </m:den>
                    </m:f>
                    <m:ctrlPr>
                      <w:rPr>
                        <w:rFonts w:ascii="Cambria Math" w:hAnsi="Cambria Math" w:eastAsiaTheme="minorEastAsia" w:cstheme="minorEastAsia"/>
                        <w:bCs/>
                        <w:i/>
                        <w:szCs w:val="21"/>
                      </w:rPr>
                    </m:ctrlPr>
                  </m:e>
                </m:d>
                <m:r>
                  <m:rPr/>
                  <w:rPr>
                    <w:rFonts w:ascii="Cambria Math" w:hAnsi="Cambria Math" w:eastAsiaTheme="minorEastAsia" w:cstheme="minorEastAsia"/>
                    <w:szCs w:val="21"/>
                  </w:rPr>
                  <m:t>∙</m:t>
                </m:r>
                <m:sSub>
                  <m:sSubPr>
                    <m:ctrlPr>
                      <w:rPr>
                        <w:rFonts w:ascii="Cambria Math" w:hAnsi="Cambria Math" w:eastAsiaTheme="minorEastAsia" w:cstheme="minorEastAsia"/>
                        <w:bCs/>
                        <w:i/>
                        <w:szCs w:val="21"/>
                      </w:rPr>
                    </m:ctrlPr>
                  </m:sSubPr>
                  <m:e>
                    <m:r>
                      <m:rPr/>
                      <w:rPr>
                        <w:rFonts w:ascii="Cambria Math" w:hAnsi="Cambria Math" w:eastAsiaTheme="minorEastAsia" w:cstheme="minorEastAsia"/>
                        <w:szCs w:val="21"/>
                      </w:rPr>
                      <m:t>Q</m:t>
                    </m:r>
                    <m:ctrlPr>
                      <w:rPr>
                        <w:rFonts w:ascii="Cambria Math" w:hAnsi="Cambria Math" w:eastAsiaTheme="minorEastAsia" w:cstheme="minorEastAsia"/>
                        <w:bCs/>
                        <w:i/>
                        <w:szCs w:val="21"/>
                      </w:rPr>
                    </m:ctrlPr>
                  </m:e>
                  <m:sub>
                    <m:r>
                      <m:rPr/>
                      <w:rPr>
                        <w:rFonts w:ascii="Cambria Math" w:hAnsi="Cambria Math" w:eastAsiaTheme="minorEastAsia" w:cstheme="minorEastAsia"/>
                        <w:szCs w:val="21"/>
                      </w:rPr>
                      <m:t>i</m:t>
                    </m:r>
                    <m:ctrlPr>
                      <w:rPr>
                        <w:rFonts w:ascii="Cambria Math" w:hAnsi="Cambria Math" w:eastAsiaTheme="minorEastAsia" w:cstheme="minorEastAsia"/>
                        <w:bCs/>
                        <w:i/>
                        <w:szCs w:val="21"/>
                      </w:rPr>
                    </m:ctrlPr>
                  </m:sub>
                </m:sSub>
                <m:r>
                  <m:rPr/>
                  <w:rPr>
                    <w:rFonts w:ascii="Cambria Math" w:hAnsi="Cambria Math" w:eastAsiaTheme="minorEastAsia" w:cstheme="minorEastAsia"/>
                    <w:szCs w:val="21"/>
                  </w:rPr>
                  <m:t>t</m:t>
                </m:r>
              </m:oMath>
            </m:oMathPara>
          </w:p>
          <w:p w14:paraId="11660DDC">
            <w:pPr>
              <w:pStyle w:val="35"/>
              <w:tabs>
                <w:tab w:val="left" w:pos="0"/>
              </w:tabs>
              <w:rPr>
                <w:rFonts w:cstheme="minorEastAsia"/>
                <w:bCs/>
                <w:szCs w:val="21"/>
              </w:rPr>
            </w:pPr>
            <w:r>
              <w:rPr>
                <w:rFonts w:hint="eastAsia" w:cstheme="minorEastAsia"/>
                <w:bCs/>
                <w:szCs w:val="21"/>
              </w:rPr>
              <w:t>式中：</w:t>
            </w:r>
            <m:oMath>
              <m:r>
                <m:rPr/>
                <w:rPr>
                  <w:rFonts w:ascii="Cambria Math" w:hAnsi="Cambria Math" w:cs="Cambria Math"/>
                  <w:szCs w:val="21"/>
                </w:rPr>
                <m:t>V</m:t>
              </m:r>
            </m:oMath>
            <w:r>
              <w:rPr>
                <w:rFonts w:hint="eastAsia" w:cstheme="minorEastAsia"/>
                <w:bCs/>
                <w:szCs w:val="21"/>
              </w:rPr>
              <w:t>——调蓄量（m</w:t>
            </w:r>
            <w:r>
              <w:rPr>
                <w:rFonts w:hint="eastAsia" w:cstheme="minorEastAsia"/>
                <w:bCs/>
                <w:szCs w:val="21"/>
                <w:vertAlign w:val="superscript"/>
              </w:rPr>
              <w:t>3</w:t>
            </w:r>
            <w:r>
              <w:rPr>
                <w:rFonts w:hint="eastAsia" w:cstheme="minorEastAsia"/>
                <w:bCs/>
                <w:szCs w:val="21"/>
              </w:rPr>
              <w:t>）；</w:t>
            </w:r>
          </w:p>
          <w:p w14:paraId="5A86EE24">
            <w:pPr>
              <w:pStyle w:val="35"/>
              <w:tabs>
                <w:tab w:val="left" w:pos="0"/>
              </w:tabs>
              <w:ind w:left="210" w:leftChars="100" w:firstLine="420" w:firstLineChars="200"/>
              <w:rPr>
                <w:rFonts w:cstheme="minorEastAsia"/>
                <w:bCs/>
                <w:szCs w:val="21"/>
              </w:rPr>
            </w:pPr>
            <w:r>
              <w:rPr>
                <w:rFonts w:hint="eastAsia" w:cstheme="minorEastAsia"/>
                <w:bCs/>
                <w:szCs w:val="21"/>
              </w:rPr>
              <w:t>b，n——上海市暴雨强度公式参数，b取值为7.0，n取值为0.656；</w:t>
            </w:r>
          </w:p>
          <w:p w14:paraId="090B7FC4">
            <w:pPr>
              <w:pStyle w:val="35"/>
              <w:tabs>
                <w:tab w:val="left" w:pos="0"/>
              </w:tabs>
              <w:ind w:left="210" w:leftChars="100" w:firstLine="420" w:firstLineChars="200"/>
              <w:rPr>
                <w:rFonts w:cstheme="minorEastAsia"/>
                <w:bCs/>
                <w:szCs w:val="21"/>
              </w:rPr>
            </w:pPr>
            <m:oMath>
              <m:r>
                <m:rPr/>
                <w:rPr>
                  <w:rFonts w:ascii="Cambria Math" w:hAnsi="Cambria Math" w:cs="宋体"/>
                  <w:szCs w:val="21"/>
                </w:rPr>
                <m:t>α</m:t>
              </m:r>
            </m:oMath>
            <w:r>
              <w:rPr>
                <w:rFonts w:hint="eastAsia" w:cstheme="minorEastAsia"/>
                <w:bCs/>
                <w:szCs w:val="21"/>
              </w:rPr>
              <w:t>——脱过系数，取值为调蓄设施下游和上游设计流量之比；</w:t>
            </w:r>
          </w:p>
          <w:p w14:paraId="475D87C5">
            <w:pPr>
              <w:pStyle w:val="35"/>
              <w:tabs>
                <w:tab w:val="left" w:pos="0"/>
              </w:tabs>
              <w:ind w:left="210" w:leftChars="100" w:firstLine="420" w:firstLineChars="200"/>
              <w:rPr>
                <w:rFonts w:cstheme="minorEastAsia"/>
                <w:bCs/>
                <w:szCs w:val="21"/>
              </w:rPr>
            </w:pPr>
            <m:oMath>
              <m:sSub>
                <m:sSubPr>
                  <m:ctrlPr>
                    <w:rPr>
                      <w:rFonts w:ascii="Cambria Math" w:hAnsi="Cambria Math" w:cs="宋体"/>
                      <w:bCs/>
                      <w:i/>
                      <w:szCs w:val="21"/>
                    </w:rPr>
                  </m:ctrlPr>
                </m:sSubPr>
                <m:e>
                  <m:r>
                    <m:rPr/>
                    <w:rPr>
                      <w:rFonts w:ascii="Cambria Math" w:hAnsi="Cambria Math" w:cs="宋体"/>
                      <w:szCs w:val="21"/>
                    </w:rPr>
                    <m:t>Q</m:t>
                  </m:r>
                  <m:ctrlPr>
                    <w:rPr>
                      <w:rFonts w:ascii="Cambria Math" w:hAnsi="Cambria Math" w:cs="宋体"/>
                      <w:bCs/>
                      <w:i/>
                      <w:szCs w:val="21"/>
                    </w:rPr>
                  </m:ctrlPr>
                </m:e>
                <m:sub>
                  <m:r>
                    <m:rPr/>
                    <w:rPr>
                      <w:rFonts w:ascii="Cambria Math" w:hAnsi="Cambria Math" w:cs="宋体"/>
                      <w:szCs w:val="21"/>
                    </w:rPr>
                    <m:t>i</m:t>
                  </m:r>
                  <m:ctrlPr>
                    <w:rPr>
                      <w:rFonts w:ascii="Cambria Math" w:hAnsi="Cambria Math" w:cs="宋体"/>
                      <w:bCs/>
                      <w:i/>
                      <w:szCs w:val="21"/>
                    </w:rPr>
                  </m:ctrlPr>
                </m:sub>
              </m:sSub>
              <m:r>
                <m:rPr/>
                <w:rPr>
                  <w:rFonts w:ascii="Cambria Math" w:hAnsi="Cambria Math" w:cs="Cambria Math"/>
                  <w:szCs w:val="21"/>
                </w:rPr>
                <m:t>−−</m:t>
              </m:r>
            </m:oMath>
            <w:r>
              <w:rPr>
                <w:rFonts w:hint="eastAsia" w:cstheme="minorEastAsia"/>
                <w:bCs/>
                <w:szCs w:val="21"/>
              </w:rPr>
              <w:t>调蓄设施上游设计流量（m</w:t>
            </w:r>
            <w:r>
              <w:rPr>
                <w:rFonts w:cstheme="minorEastAsia"/>
                <w:bCs/>
                <w:szCs w:val="21"/>
                <w:vertAlign w:val="superscript"/>
              </w:rPr>
              <w:t>3</w:t>
            </w:r>
            <w:r>
              <w:rPr>
                <w:rFonts w:hint="eastAsia" w:cstheme="minorEastAsia"/>
                <w:bCs/>
                <w:szCs w:val="21"/>
              </w:rPr>
              <w:t>/s）；</w:t>
            </w:r>
          </w:p>
          <w:p w14:paraId="2A2F5DAB">
            <w:pPr>
              <w:pStyle w:val="35"/>
              <w:tabs>
                <w:tab w:val="left" w:pos="0"/>
              </w:tabs>
              <w:ind w:left="210" w:leftChars="100" w:firstLine="420" w:firstLineChars="200"/>
              <w:rPr>
                <w:rFonts w:cstheme="minorEastAsia"/>
                <w:bCs/>
                <w:szCs w:val="21"/>
              </w:rPr>
            </w:pPr>
            <m:oMath>
              <m:r>
                <m:rPr/>
                <w:rPr>
                  <w:rFonts w:ascii="Cambria Math" w:hAnsi="Cambria Math" w:cs="Cambria Math"/>
                  <w:szCs w:val="21"/>
                </w:rPr>
                <m:t>t</m:t>
              </m:r>
            </m:oMath>
            <w:r>
              <w:rPr>
                <w:rFonts w:hint="eastAsia" w:cstheme="minorEastAsia"/>
                <w:bCs/>
                <w:szCs w:val="21"/>
              </w:rPr>
              <w:t>——降雨历时（min）。</w:t>
            </w:r>
          </w:p>
          <w:p w14:paraId="6027905A">
            <w:pPr>
              <w:pStyle w:val="35"/>
              <w:tabs>
                <w:tab w:val="left" w:pos="0"/>
              </w:tabs>
              <w:rPr>
                <w:rFonts w:cstheme="minorEastAsia"/>
                <w:bCs/>
                <w:szCs w:val="21"/>
              </w:rPr>
            </w:pPr>
          </w:p>
          <w:p w14:paraId="600446B3">
            <w:pPr>
              <w:pStyle w:val="35"/>
              <w:tabs>
                <w:tab w:val="left" w:pos="0"/>
              </w:tabs>
              <w:rPr>
                <w:b/>
                <w:bCs/>
              </w:rPr>
            </w:pPr>
            <w:r>
              <w:rPr>
                <w:rFonts w:hint="eastAsia"/>
                <w:b/>
                <w:bCs/>
              </w:rPr>
              <w:t>《雨水调蓄设施技术标准》DG/TJ 08-2432-2023</w:t>
            </w:r>
          </w:p>
          <w:p w14:paraId="6ABA9F6D">
            <w:pPr>
              <w:pStyle w:val="35"/>
              <w:tabs>
                <w:tab w:val="left" w:pos="0"/>
              </w:tabs>
            </w:pPr>
            <w:r>
              <w:rPr>
                <w:rFonts w:hint="eastAsia"/>
              </w:rPr>
              <w:t>3.1.1 雨水调蓄设施的设计调蓄量应根据雨水设计流量和调蓄设施的主要功能，经计算确定，宜采用数学模型法校核。当雨水调蓄设施具有多种功能时，应分别计算各种功能所需要的调蓄量，根据不同功能发挥的时序，确定取最大值或是合计值作为设计调蓄量。</w:t>
            </w:r>
          </w:p>
          <w:p w14:paraId="57A9DA33">
            <w:pPr>
              <w:tabs>
                <w:tab w:val="left" w:pos="0"/>
              </w:tabs>
              <w:ind w:firstLine="0" w:firstLineChars="0"/>
              <w:rPr>
                <w:rFonts w:cs="Times New Roman"/>
                <w:b/>
                <w:bCs/>
                <w:i/>
                <w:iCs/>
                <w:szCs w:val="21"/>
              </w:rPr>
            </w:pPr>
            <w:r>
              <w:rPr>
                <w:rFonts w:hint="eastAsia"/>
                <w:b/>
                <w:bCs/>
                <w:i/>
                <w:iCs/>
              </w:rPr>
              <w:t>审查说明：雨水调蓄设施的主要功能包括控制径流总量、削减峰值流量、控制径流污染和雨水收集利用等。当雨水调蓄设施具备两种及以上功能时，应分别进行调蓄量计算，然后根据其不同功能发挥的时序，确定取最大值或是合计值作为设计调蓄量。</w:t>
            </w:r>
          </w:p>
        </w:tc>
      </w:tr>
      <w:tr w14:paraId="2658CC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7" w:type="pct"/>
            <w:tcBorders>
              <w:tl2br w:val="nil"/>
              <w:tr2bl w:val="nil"/>
            </w:tcBorders>
            <w:vAlign w:val="center"/>
          </w:tcPr>
          <w:p w14:paraId="6D18CEDA">
            <w:pPr>
              <w:widowControl/>
              <w:numPr>
                <w:ilvl w:val="0"/>
                <w:numId w:val="7"/>
              </w:numPr>
              <w:ind w:firstLineChars="0"/>
              <w:contextualSpacing/>
              <w:jc w:val="center"/>
              <w:rPr>
                <w:rFonts w:eastAsia="黑体"/>
                <w:bCs/>
                <w:kern w:val="0"/>
                <w:szCs w:val="21"/>
              </w:rPr>
            </w:pPr>
          </w:p>
        </w:tc>
        <w:tc>
          <w:tcPr>
            <w:tcW w:w="648" w:type="pct"/>
            <w:tcBorders>
              <w:tl2br w:val="nil"/>
              <w:tr2bl w:val="nil"/>
            </w:tcBorders>
            <w:vAlign w:val="center"/>
          </w:tcPr>
          <w:p w14:paraId="4DB668B2">
            <w:pPr>
              <w:ind w:firstLine="0" w:firstLineChars="0"/>
              <w:jc w:val="center"/>
              <w:rPr>
                <w:rFonts w:hint="eastAsia" w:ascii="Times New Roman" w:hAnsi="Times New Roman" w:eastAsia="宋体" w:cs="宋体"/>
                <w:szCs w:val="21"/>
                <w:lang w:bidi="ar"/>
              </w:rPr>
            </w:pPr>
            <w:r>
              <w:rPr>
                <w:rFonts w:hint="eastAsia" w:cs="宋体"/>
                <w:bCs/>
                <w:kern w:val="0"/>
                <w:szCs w:val="21"/>
                <w:lang w:bidi="ar"/>
              </w:rPr>
              <w:t>平面布置和竖向设计</w:t>
            </w:r>
          </w:p>
        </w:tc>
        <w:tc>
          <w:tcPr>
            <w:tcW w:w="3964" w:type="pct"/>
            <w:tcBorders>
              <w:tl2br w:val="nil"/>
              <w:tr2bl w:val="nil"/>
            </w:tcBorders>
            <w:vAlign w:val="center"/>
          </w:tcPr>
          <w:p w14:paraId="6075A7B6">
            <w:pPr>
              <w:pStyle w:val="20"/>
              <w:tabs>
                <w:tab w:val="left" w:pos="420"/>
              </w:tabs>
              <w:ind w:firstLine="0" w:firstLineChars="0"/>
              <w:rPr>
                <w:rFonts w:cs="Times New Roman"/>
                <w:b/>
                <w:bCs/>
                <w:sz w:val="21"/>
                <w:szCs w:val="21"/>
              </w:rPr>
            </w:pPr>
            <w:r>
              <w:rPr>
                <w:rFonts w:hint="eastAsia" w:cs="宋体"/>
                <w:b/>
                <w:bCs/>
                <w:sz w:val="21"/>
                <w:szCs w:val="21"/>
                <w:lang w:bidi="ar"/>
              </w:rPr>
              <w:t>《海绵城市规划与设计标准》DG/TJ 08-2298-2026</w:t>
            </w:r>
          </w:p>
          <w:p w14:paraId="7D286591">
            <w:pPr>
              <w:tabs>
                <w:tab w:val="left" w:pos="0"/>
              </w:tabs>
              <w:ind w:firstLine="0" w:firstLineChars="0"/>
              <w:rPr>
                <w:rFonts w:cs="Times New Roman"/>
                <w:kern w:val="0"/>
                <w:szCs w:val="21"/>
              </w:rPr>
            </w:pPr>
            <w:r>
              <w:rPr>
                <w:rFonts w:cs="Times New Roman"/>
                <w:kern w:val="0"/>
                <w:szCs w:val="21"/>
                <w:lang w:bidi="ar"/>
              </w:rPr>
              <w:t xml:space="preserve">6.4.8 </w:t>
            </w:r>
            <w:r>
              <w:rPr>
                <w:rFonts w:hint="eastAsia" w:cs="宋体"/>
                <w:kern w:val="0"/>
                <w:szCs w:val="21"/>
                <w:lang w:bidi="ar"/>
              </w:rPr>
              <w:t>用于源头减排的下凹式绿地的设计应符合下列规定</w:t>
            </w:r>
            <w:r>
              <w:rPr>
                <w:rFonts w:cs="Times New Roman"/>
                <w:kern w:val="0"/>
                <w:szCs w:val="21"/>
                <w:lang w:bidi="ar"/>
              </w:rPr>
              <w:t>:</w:t>
            </w:r>
          </w:p>
          <w:p w14:paraId="1FE90F8F">
            <w:pPr>
              <w:tabs>
                <w:tab w:val="left" w:pos="0"/>
              </w:tabs>
              <w:ind w:firstLine="420"/>
              <w:rPr>
                <w:rFonts w:cs="宋体"/>
                <w:kern w:val="0"/>
                <w:szCs w:val="21"/>
                <w:lang w:bidi="ar"/>
              </w:rPr>
            </w:pPr>
            <w:r>
              <w:rPr>
                <w:rFonts w:cs="Times New Roman"/>
                <w:kern w:val="0"/>
                <w:szCs w:val="21"/>
                <w:lang w:bidi="ar"/>
              </w:rPr>
              <w:t xml:space="preserve">2 </w:t>
            </w:r>
            <w:r>
              <w:rPr>
                <w:rFonts w:hint="eastAsia" w:cs="宋体"/>
                <w:kern w:val="0"/>
                <w:szCs w:val="21"/>
                <w:lang w:bidi="ar"/>
              </w:rPr>
              <w:t>下凹式绿地内应设置溢流口，溢流口顶部标高应低于周边汇水区域的地面</w:t>
            </w:r>
            <w:r>
              <w:rPr>
                <w:rFonts w:cs="Times New Roman"/>
                <w:kern w:val="0"/>
                <w:szCs w:val="21"/>
                <w:lang w:bidi="ar"/>
              </w:rPr>
              <w:t>50mm~100mm</w:t>
            </w:r>
            <w:r>
              <w:rPr>
                <w:rFonts w:hint="eastAsia" w:cs="宋体"/>
                <w:kern w:val="0"/>
                <w:szCs w:val="21"/>
                <w:lang w:bidi="ar"/>
              </w:rPr>
              <w:t>。</w:t>
            </w:r>
          </w:p>
          <w:p w14:paraId="1B5CA8E8">
            <w:pPr>
              <w:tabs>
                <w:tab w:val="left" w:pos="0"/>
              </w:tabs>
              <w:ind w:firstLine="0" w:firstLineChars="0"/>
              <w:rPr>
                <w:rFonts w:cs="Times New Roman"/>
                <w:bCs/>
                <w:kern w:val="0"/>
                <w:szCs w:val="21"/>
              </w:rPr>
            </w:pPr>
            <w:r>
              <w:rPr>
                <w:rFonts w:cs="Times New Roman"/>
                <w:bCs/>
                <w:kern w:val="0"/>
                <w:szCs w:val="21"/>
                <w:lang w:bidi="ar"/>
              </w:rPr>
              <w:t>6.4.10</w:t>
            </w:r>
            <w:r>
              <w:rPr>
                <w:rFonts w:hint="eastAsia" w:cs="Times New Roman"/>
                <w:bCs/>
                <w:kern w:val="0"/>
                <w:szCs w:val="21"/>
                <w:lang w:val="en-US" w:eastAsia="zh-CN" w:bidi="ar"/>
              </w:rPr>
              <w:t xml:space="preserve"> </w:t>
            </w:r>
            <w:r>
              <w:rPr>
                <w:rFonts w:hint="eastAsia" w:cs="宋体"/>
                <w:bCs/>
                <w:kern w:val="0"/>
                <w:szCs w:val="21"/>
                <w:lang w:bidi="ar"/>
              </w:rPr>
              <w:t>生物滞留设施设计应符合下列规定：</w:t>
            </w:r>
          </w:p>
          <w:p w14:paraId="7EDC2279">
            <w:pPr>
              <w:ind w:firstLine="420"/>
              <w:rPr>
                <w:rFonts w:cs="Times New Roman"/>
                <w:kern w:val="0"/>
                <w:szCs w:val="21"/>
              </w:rPr>
            </w:pPr>
            <w:r>
              <w:rPr>
                <w:rFonts w:cs="Times New Roman"/>
                <w:kern w:val="0"/>
                <w:szCs w:val="21"/>
                <w:lang w:bidi="ar"/>
              </w:rPr>
              <w:t xml:space="preserve">2 </w:t>
            </w:r>
            <w:r>
              <w:rPr>
                <w:rFonts w:hint="eastAsia" w:cs="宋体"/>
                <w:kern w:val="0"/>
                <w:szCs w:val="21"/>
                <w:lang w:bidi="ar"/>
              </w:rPr>
              <w:t>应分散布置，并应根据设施的服务面积合理确定单个生物滞留设施的面积和蓄水层深度。</w:t>
            </w:r>
          </w:p>
          <w:p w14:paraId="358AE7DD">
            <w:pPr>
              <w:tabs>
                <w:tab w:val="left" w:pos="0"/>
              </w:tabs>
              <w:ind w:firstLine="420"/>
              <w:rPr>
                <w:rFonts w:cs="Times New Roman"/>
                <w:kern w:val="0"/>
                <w:szCs w:val="21"/>
              </w:rPr>
            </w:pPr>
            <w:r>
              <w:rPr>
                <w:rFonts w:cs="Times New Roman"/>
                <w:kern w:val="0"/>
                <w:szCs w:val="21"/>
                <w:lang w:bidi="ar"/>
              </w:rPr>
              <w:t xml:space="preserve">6 </w:t>
            </w:r>
            <w:r>
              <w:rPr>
                <w:rFonts w:hint="eastAsia" w:cs="宋体"/>
                <w:kern w:val="0"/>
                <w:szCs w:val="21"/>
                <w:lang w:bidi="ar"/>
              </w:rPr>
              <w:t>对于有污染的道路、停车场等周边的绿地，应在生物滞留设施的汇水区入口之前设置植草沟或沉泥井等预沉降措施。</w:t>
            </w:r>
          </w:p>
          <w:p w14:paraId="05FEA88C">
            <w:pPr>
              <w:pStyle w:val="20"/>
              <w:tabs>
                <w:tab w:val="left" w:pos="420"/>
              </w:tabs>
              <w:ind w:firstLine="0" w:firstLineChars="0"/>
              <w:rPr>
                <w:rFonts w:hint="eastAsia" w:cs="宋体"/>
                <w:b/>
                <w:bCs/>
                <w:i/>
                <w:iCs/>
                <w:sz w:val="21"/>
                <w:szCs w:val="21"/>
                <w:lang w:bidi="ar"/>
              </w:rPr>
            </w:pPr>
            <w:r>
              <w:rPr>
                <w:rFonts w:hint="eastAsia" w:cs="宋体"/>
                <w:b/>
                <w:bCs/>
                <w:i/>
                <w:iCs/>
                <w:sz w:val="21"/>
                <w:szCs w:val="21"/>
                <w:lang w:bidi="ar"/>
              </w:rPr>
              <w:t>审查说明：生物滞留设施面积应根据汇水范围内可收集雨量确定。海绵设施采用溢流形式排放，</w:t>
            </w:r>
            <w:r>
              <w:rPr>
                <w:rFonts w:hint="eastAsia" w:cs="宋体"/>
                <w:b/>
                <w:bCs/>
                <w:i/>
                <w:iCs/>
                <w:kern w:val="0"/>
                <w:sz w:val="21"/>
                <w:szCs w:val="21"/>
                <w:lang w:bidi="ar"/>
              </w:rPr>
              <w:t>溢流口顶部标高应低于周边汇水区域的地面</w:t>
            </w:r>
            <w:r>
              <w:rPr>
                <w:rFonts w:cs="Times New Roman"/>
                <w:b/>
                <w:bCs/>
                <w:i/>
                <w:iCs/>
                <w:kern w:val="0"/>
                <w:sz w:val="21"/>
                <w:szCs w:val="21"/>
                <w:lang w:bidi="ar"/>
              </w:rPr>
              <w:t>50mm~100mm</w:t>
            </w:r>
            <w:r>
              <w:rPr>
                <w:rFonts w:hint="eastAsia" w:cs="宋体"/>
                <w:b/>
                <w:bCs/>
                <w:i/>
                <w:iCs/>
                <w:sz w:val="21"/>
                <w:szCs w:val="21"/>
                <w:lang w:bidi="ar"/>
              </w:rPr>
              <w:t>，避免路面积水。单个生物滞留设施面积不宜大于40m</w:t>
            </w:r>
            <w:r>
              <w:rPr>
                <w:rFonts w:hint="eastAsia" w:cs="宋体"/>
                <w:b/>
                <w:bCs/>
                <w:i/>
                <w:iCs/>
                <w:sz w:val="21"/>
                <w:szCs w:val="21"/>
                <w:vertAlign w:val="superscript"/>
                <w:lang w:bidi="ar"/>
              </w:rPr>
              <w:t>2</w:t>
            </w:r>
            <w:r>
              <w:rPr>
                <w:rFonts w:hint="eastAsia" w:cs="宋体"/>
                <w:b/>
                <w:bCs/>
                <w:i/>
                <w:iCs/>
                <w:sz w:val="21"/>
                <w:szCs w:val="21"/>
                <w:lang w:bidi="ar"/>
              </w:rPr>
              <w:t xml:space="preserve">，蓄水层深度宜为 </w:t>
            </w:r>
            <w:r>
              <w:rPr>
                <w:rFonts w:cs="Times New Roman"/>
                <w:b/>
                <w:bCs/>
                <w:i/>
                <w:iCs/>
                <w:sz w:val="21"/>
                <w:szCs w:val="21"/>
                <w:lang w:bidi="ar"/>
              </w:rPr>
              <w:t xml:space="preserve">200mm </w:t>
            </w:r>
            <w:r>
              <w:rPr>
                <w:rFonts w:hint="eastAsia" w:cs="Times New Roman" w:eastAsiaTheme="minorEastAsia"/>
                <w:kern w:val="0"/>
                <w:szCs w:val="21"/>
              </w:rPr>
              <w:t xml:space="preserve">~ </w:t>
            </w:r>
            <w:r>
              <w:rPr>
                <w:rFonts w:hint="eastAsia" w:cs="Times New Roman"/>
                <w:b/>
                <w:bCs/>
                <w:i/>
                <w:iCs/>
                <w:sz w:val="21"/>
                <w:szCs w:val="21"/>
                <w:lang w:bidi="ar"/>
              </w:rPr>
              <w:t>300</w:t>
            </w:r>
            <w:r>
              <w:rPr>
                <w:rFonts w:cs="Times New Roman"/>
                <w:b/>
                <w:bCs/>
                <w:i/>
                <w:iCs/>
                <w:sz w:val="21"/>
                <w:szCs w:val="21"/>
                <w:lang w:bidi="ar"/>
              </w:rPr>
              <w:t>m</w:t>
            </w:r>
            <w:r>
              <w:rPr>
                <w:rFonts w:hint="eastAsia" w:cs="宋体"/>
                <w:b/>
                <w:bCs/>
                <w:i/>
                <w:iCs/>
                <w:sz w:val="21"/>
                <w:szCs w:val="21"/>
                <w:lang w:bidi="ar"/>
              </w:rPr>
              <w:t>m。</w:t>
            </w:r>
          </w:p>
          <w:p w14:paraId="66C8B6E5">
            <w:pPr>
              <w:pStyle w:val="20"/>
              <w:tabs>
                <w:tab w:val="left" w:pos="420"/>
              </w:tabs>
              <w:ind w:firstLine="0" w:firstLineChars="0"/>
              <w:rPr>
                <w:rFonts w:hint="eastAsia" w:cs="宋体"/>
                <w:b/>
                <w:bCs/>
                <w:i/>
                <w:iCs/>
                <w:sz w:val="21"/>
                <w:szCs w:val="21"/>
                <w:lang w:bidi="ar"/>
              </w:rPr>
            </w:pPr>
          </w:p>
          <w:p w14:paraId="7FEA4552">
            <w:pPr>
              <w:pStyle w:val="20"/>
              <w:tabs>
                <w:tab w:val="left" w:pos="0"/>
              </w:tabs>
              <w:ind w:firstLine="0" w:firstLineChars="0"/>
              <w:rPr>
                <w:rFonts w:cs="Times New Roman"/>
                <w:sz w:val="21"/>
                <w:szCs w:val="21"/>
              </w:rPr>
            </w:pPr>
            <w:r>
              <w:rPr>
                <w:rFonts w:hint="eastAsia" w:cs="宋体"/>
                <w:b/>
                <w:bCs/>
                <w:sz w:val="21"/>
                <w:szCs w:val="21"/>
                <w:lang w:bidi="ar"/>
              </w:rPr>
              <w:t>《室外排水设计标准》GB50014-2021</w:t>
            </w:r>
          </w:p>
          <w:p w14:paraId="190C7A83">
            <w:pPr>
              <w:pStyle w:val="20"/>
              <w:tabs>
                <w:tab w:val="left" w:pos="0"/>
              </w:tabs>
              <w:ind w:firstLine="0" w:firstLineChars="0"/>
              <w:rPr>
                <w:rFonts w:cs="Times New Roman"/>
                <w:sz w:val="21"/>
                <w:szCs w:val="21"/>
              </w:rPr>
            </w:pPr>
            <w:r>
              <w:rPr>
                <w:rFonts w:cs="Times New Roman"/>
                <w:sz w:val="21"/>
                <w:szCs w:val="21"/>
                <w:lang w:bidi="ar"/>
              </w:rPr>
              <w:t xml:space="preserve">4.1.2 </w:t>
            </w:r>
            <w:r>
              <w:rPr>
                <w:rFonts w:hint="eastAsia" w:cs="宋体"/>
                <w:sz w:val="21"/>
                <w:szCs w:val="21"/>
                <w:lang w:bidi="ar"/>
              </w:rPr>
              <w:t>当降雨量小于规划确定的年径流总量控制率所对应的降雨量时，源头减排设施应能保证不直接向市政雨水管渠排放未经控制的雨水。</w:t>
            </w:r>
          </w:p>
          <w:p w14:paraId="43DF2376">
            <w:pPr>
              <w:pStyle w:val="35"/>
              <w:tabs>
                <w:tab w:val="left" w:pos="0"/>
              </w:tabs>
              <w:rPr>
                <w:b/>
                <w:bCs/>
                <w:i/>
                <w:iCs/>
                <w:szCs w:val="21"/>
              </w:rPr>
            </w:pPr>
            <w:r>
              <w:rPr>
                <w:rFonts w:hint="eastAsia"/>
                <w:b/>
                <w:bCs/>
                <w:i/>
                <w:iCs/>
                <w:szCs w:val="21"/>
              </w:rPr>
              <w:t>审查说明：海绵城市设计方案应覆盖所有承接降雨的下垫面，不应遗漏部分下垫面，导致该部分径流雨水未经控制排向市政雨水管渠。同时，设计方案要确保源头减排设施的汇流路径畅通，汇水范围内的径流雨水能顺畅进入源头减排设施。要确保溢流井标高竖向衔接合理，需管控的径流雨水能在源头减排设施内存留。</w:t>
            </w:r>
          </w:p>
          <w:p w14:paraId="3DB812E7">
            <w:pPr>
              <w:pStyle w:val="35"/>
              <w:tabs>
                <w:tab w:val="left" w:pos="0"/>
              </w:tabs>
              <w:rPr>
                <w:b/>
                <w:bCs/>
                <w:szCs w:val="21"/>
              </w:rPr>
            </w:pPr>
          </w:p>
          <w:p w14:paraId="4FE91838">
            <w:pPr>
              <w:pStyle w:val="35"/>
              <w:tabs>
                <w:tab w:val="left" w:pos="0"/>
              </w:tabs>
              <w:rPr>
                <w:szCs w:val="21"/>
              </w:rPr>
            </w:pPr>
            <w:r>
              <w:rPr>
                <w:rFonts w:hint="eastAsia"/>
                <w:szCs w:val="21"/>
              </w:rPr>
              <w:t>5.7.5 当考虑道路排水的径流污染控制时，雨水口应设置在源头减排设施中。其箅面标高应根据雨水调蓄设计要求确定，且应高于周围绿地平面标高。</w:t>
            </w:r>
          </w:p>
          <w:p w14:paraId="6AFB7DEC">
            <w:pPr>
              <w:pStyle w:val="20"/>
              <w:tabs>
                <w:tab w:val="left" w:pos="0"/>
              </w:tabs>
              <w:ind w:firstLine="0" w:firstLineChars="0"/>
              <w:rPr>
                <w:rFonts w:cs="宋体"/>
                <w:i/>
                <w:iCs/>
                <w:sz w:val="18"/>
                <w:szCs w:val="18"/>
                <w:lang w:bidi="ar"/>
              </w:rPr>
            </w:pPr>
            <w:r>
              <w:rPr>
                <w:rFonts w:hint="eastAsia"/>
                <w:b/>
                <w:bCs/>
                <w:i/>
                <w:iCs/>
                <w:sz w:val="21"/>
                <w:szCs w:val="18"/>
              </w:rPr>
              <w:t>审查说明：</w:t>
            </w:r>
            <w:r>
              <w:rPr>
                <w:rFonts w:hint="eastAsia"/>
                <w:b/>
                <w:bCs/>
                <w:i/>
                <w:iCs/>
                <w:sz w:val="21"/>
                <w:szCs w:val="21"/>
              </w:rPr>
              <w:t>道路径流雨水由源头减排设施进行管控时，雨水口应设置在源头减排设施中，箅面高于设施底部且低于道路路面，即为溢流口。要确保路面径流雨水能顺畅进入源头减排设施，如有路缘石或人行道阻隔应专门开口（孔）或采用暗管、暗渠连接，其过水能力满足设计暴雨重现期要求。</w:t>
            </w:r>
          </w:p>
          <w:p w14:paraId="2D001D9F">
            <w:pPr>
              <w:pStyle w:val="20"/>
              <w:tabs>
                <w:tab w:val="left" w:pos="0"/>
              </w:tabs>
              <w:ind w:firstLine="0" w:firstLineChars="0"/>
              <w:rPr>
                <w:rFonts w:cs="宋体"/>
                <w:sz w:val="21"/>
                <w:szCs w:val="21"/>
                <w:lang w:bidi="ar"/>
              </w:rPr>
            </w:pPr>
          </w:p>
          <w:p w14:paraId="4997E0E0">
            <w:pPr>
              <w:numPr>
                <w:ilvl w:val="255"/>
                <w:numId w:val="0"/>
              </w:numPr>
              <w:tabs>
                <w:tab w:val="left" w:pos="0"/>
              </w:tabs>
              <w:rPr>
                <w:rFonts w:cs="Times New Roman"/>
                <w:b/>
                <w:bCs/>
                <w:szCs w:val="21"/>
              </w:rPr>
            </w:pPr>
            <w:r>
              <w:rPr>
                <w:rFonts w:cs="Times New Roman"/>
                <w:b/>
                <w:bCs/>
                <w:szCs w:val="21"/>
              </w:rPr>
              <w:t>《城镇道路路面设计规范》CJJ150-2010</w:t>
            </w:r>
          </w:p>
          <w:p w14:paraId="6640F504">
            <w:pPr>
              <w:numPr>
                <w:ilvl w:val="255"/>
                <w:numId w:val="0"/>
              </w:numPr>
              <w:tabs>
                <w:tab w:val="left" w:pos="0"/>
              </w:tabs>
              <w:rPr>
                <w:rFonts w:cs="Times New Roman"/>
                <w:szCs w:val="21"/>
              </w:rPr>
            </w:pPr>
            <w:r>
              <w:rPr>
                <w:rFonts w:hint="eastAsia" w:cs="Times New Roman"/>
                <w:szCs w:val="21"/>
              </w:rPr>
              <w:t>9.2.4</w:t>
            </w:r>
            <w:r>
              <w:rPr>
                <w:rFonts w:hint="eastAsia" w:cs="Times New Roman"/>
                <w:szCs w:val="21"/>
                <w:lang w:val="en-US" w:eastAsia="zh-CN"/>
              </w:rPr>
              <w:t xml:space="preserve"> </w:t>
            </w:r>
            <w:r>
              <w:rPr>
                <w:rFonts w:hint="eastAsia" w:cs="Times New Roman"/>
                <w:szCs w:val="21"/>
              </w:rPr>
              <w:t>雨水口的设置应符合下列规定:</w:t>
            </w:r>
          </w:p>
          <w:p w14:paraId="303E7983">
            <w:pPr>
              <w:pStyle w:val="20"/>
              <w:tabs>
                <w:tab w:val="left" w:pos="0"/>
              </w:tabs>
              <w:ind w:firstLine="420" w:firstLineChars="200"/>
              <w:rPr>
                <w:rFonts w:hint="eastAsia"/>
                <w:b/>
                <w:bCs/>
                <w:i/>
                <w:iCs/>
              </w:rPr>
            </w:pPr>
            <w:r>
              <w:rPr>
                <w:rFonts w:hint="eastAsia" w:cs="Times New Roman"/>
                <w:sz w:val="21"/>
                <w:szCs w:val="21"/>
              </w:rPr>
              <w:t>1 道路汇水点、人行横道上游、沿街单位出入口上游、街坊或庭院的出入口等处均应设置雨水口。道路低洼和易积水地段应根据需要适当增加雨水口。人行道与车行道之间设有连续绿化带时，人行道内侧宜增设雨水口。</w:t>
            </w:r>
          </w:p>
        </w:tc>
      </w:tr>
      <w:tr w14:paraId="1DFB94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7" w:type="pct"/>
            <w:tcBorders>
              <w:tl2br w:val="nil"/>
              <w:tr2bl w:val="nil"/>
            </w:tcBorders>
            <w:vAlign w:val="center"/>
          </w:tcPr>
          <w:p w14:paraId="4FF7161E">
            <w:pPr>
              <w:widowControl/>
              <w:numPr>
                <w:ilvl w:val="0"/>
                <w:numId w:val="7"/>
              </w:numPr>
              <w:ind w:firstLineChars="0"/>
              <w:contextualSpacing/>
              <w:jc w:val="center"/>
              <w:rPr>
                <w:rFonts w:eastAsia="黑体"/>
                <w:bCs/>
                <w:kern w:val="0"/>
                <w:szCs w:val="21"/>
              </w:rPr>
            </w:pPr>
          </w:p>
        </w:tc>
        <w:tc>
          <w:tcPr>
            <w:tcW w:w="648" w:type="pct"/>
            <w:tcBorders>
              <w:tl2br w:val="nil"/>
              <w:tr2bl w:val="nil"/>
            </w:tcBorders>
            <w:shd w:val="clear" w:color="auto" w:fill="auto"/>
            <w:vAlign w:val="center"/>
          </w:tcPr>
          <w:p w14:paraId="1FA53196">
            <w:pPr>
              <w:ind w:firstLine="0" w:firstLineChars="0"/>
              <w:jc w:val="center"/>
              <w:rPr>
                <w:rFonts w:hint="eastAsia" w:ascii="Times New Roman" w:hAnsi="Times New Roman" w:eastAsia="宋体" w:cs="Times New Roman"/>
                <w:bCs/>
                <w:kern w:val="0"/>
                <w:sz w:val="21"/>
                <w:szCs w:val="21"/>
                <w:lang w:val="en-US" w:eastAsia="zh-CN" w:bidi="ar-SA"/>
              </w:rPr>
            </w:pPr>
            <w:r>
              <w:rPr>
                <w:rFonts w:hint="eastAsia" w:cs="宋体"/>
                <w:bCs/>
                <w:kern w:val="0"/>
                <w:szCs w:val="21"/>
                <w:lang w:bidi="ar"/>
              </w:rPr>
              <w:t>排水管渠</w:t>
            </w:r>
          </w:p>
        </w:tc>
        <w:tc>
          <w:tcPr>
            <w:tcW w:w="3964" w:type="pct"/>
            <w:tcBorders>
              <w:tl2br w:val="nil"/>
              <w:tr2bl w:val="nil"/>
            </w:tcBorders>
            <w:shd w:val="clear" w:color="auto" w:fill="auto"/>
            <w:vAlign w:val="center"/>
          </w:tcPr>
          <w:p w14:paraId="64D71CDF">
            <w:pPr>
              <w:pStyle w:val="20"/>
              <w:tabs>
                <w:tab w:val="left" w:pos="0"/>
              </w:tabs>
              <w:ind w:firstLine="0" w:firstLineChars="0"/>
              <w:rPr>
                <w:rFonts w:cs="Times New Roman"/>
                <w:sz w:val="21"/>
                <w:szCs w:val="21"/>
              </w:rPr>
            </w:pPr>
            <w:r>
              <w:rPr>
                <w:rFonts w:hint="eastAsia" w:cs="宋体"/>
                <w:b/>
                <w:bCs/>
                <w:sz w:val="21"/>
                <w:szCs w:val="21"/>
                <w:lang w:bidi="ar"/>
              </w:rPr>
              <w:t>《室外排水设计标准》GB50014-2021</w:t>
            </w:r>
          </w:p>
          <w:p w14:paraId="32B8233C">
            <w:pPr>
              <w:tabs>
                <w:tab w:val="left" w:pos="0"/>
              </w:tabs>
              <w:autoSpaceDE w:val="0"/>
              <w:autoSpaceDN w:val="0"/>
              <w:adjustRightInd w:val="0"/>
              <w:ind w:firstLine="0" w:firstLineChars="0"/>
              <w:jc w:val="left"/>
              <w:rPr>
                <w:rFonts w:cs="Times New Roman"/>
                <w:szCs w:val="21"/>
              </w:rPr>
            </w:pPr>
            <w:r>
              <w:rPr>
                <w:rFonts w:cs="Times New Roman"/>
                <w:szCs w:val="21"/>
                <w:lang w:bidi="ar"/>
              </w:rPr>
              <w:t xml:space="preserve">3.2.1 </w:t>
            </w:r>
            <w:r>
              <w:rPr>
                <w:rFonts w:hint="eastAsia" w:cs="宋体"/>
                <w:szCs w:val="21"/>
                <w:lang w:bidi="ar"/>
              </w:rPr>
              <w:t>雨水系统应包括源头减排、排水管渠、排</w:t>
            </w:r>
            <w:r>
              <w:rPr>
                <w:rFonts w:hint="eastAsia" w:cs="宋体"/>
                <w:szCs w:val="21"/>
                <w:lang w:val="en-US" w:eastAsia="zh-CN" w:bidi="ar"/>
              </w:rPr>
              <w:t>涝</w:t>
            </w:r>
            <w:r>
              <w:rPr>
                <w:rFonts w:hint="eastAsia" w:cs="宋体"/>
                <w:szCs w:val="21"/>
                <w:lang w:bidi="ar"/>
              </w:rPr>
              <w:t>除险等工程性措施和应急管理的非工程性措施，并应与防洪设施相衔接。</w:t>
            </w:r>
          </w:p>
          <w:p w14:paraId="18B84157">
            <w:pPr>
              <w:tabs>
                <w:tab w:val="left" w:pos="0"/>
              </w:tabs>
              <w:autoSpaceDE w:val="0"/>
              <w:autoSpaceDN w:val="0"/>
              <w:adjustRightInd w:val="0"/>
              <w:ind w:firstLine="0" w:firstLineChars="0"/>
              <w:jc w:val="left"/>
              <w:rPr>
                <w:rFonts w:hint="eastAsia"/>
                <w:b/>
                <w:bCs/>
                <w:i/>
                <w:iCs/>
              </w:rPr>
            </w:pPr>
            <w:r>
              <w:rPr>
                <w:rFonts w:hint="eastAsia" w:cs="宋体"/>
                <w:b/>
                <w:bCs/>
                <w:i/>
                <w:iCs/>
                <w:szCs w:val="21"/>
                <w:lang w:bidi="ar"/>
              </w:rPr>
              <w:t>审查说明：</w:t>
            </w:r>
            <w:r>
              <w:rPr>
                <w:rFonts w:hint="eastAsia"/>
                <w:b/>
                <w:bCs/>
                <w:i/>
                <w:iCs/>
              </w:rPr>
              <w:t>源头减排设施是雨水系统的组成部分，与排水管渠、排涝除险设施共同发挥作用，因此源头减排设施设计与排水设计应充分衔接，避免相互冲突。</w:t>
            </w:r>
          </w:p>
          <w:p w14:paraId="1C82436A">
            <w:pPr>
              <w:tabs>
                <w:tab w:val="left" w:pos="0"/>
              </w:tabs>
              <w:autoSpaceDE w:val="0"/>
              <w:autoSpaceDN w:val="0"/>
              <w:adjustRightInd w:val="0"/>
              <w:ind w:firstLine="0" w:firstLineChars="0"/>
              <w:jc w:val="left"/>
              <w:rPr>
                <w:rFonts w:hint="eastAsia"/>
                <w:b/>
                <w:bCs/>
                <w:i/>
                <w:iCs/>
              </w:rPr>
            </w:pPr>
          </w:p>
          <w:p w14:paraId="4BADA4A2">
            <w:pPr>
              <w:pStyle w:val="20"/>
              <w:tabs>
                <w:tab w:val="left" w:pos="0"/>
              </w:tabs>
              <w:ind w:firstLine="0" w:firstLineChars="0"/>
              <w:rPr>
                <w:rFonts w:cs="Times New Roman"/>
                <w:b/>
                <w:bCs/>
                <w:sz w:val="21"/>
                <w:szCs w:val="21"/>
              </w:rPr>
            </w:pPr>
            <w:r>
              <w:rPr>
                <w:rFonts w:hint="eastAsia" w:cs="宋体"/>
                <w:b/>
                <w:bCs/>
                <w:sz w:val="21"/>
                <w:szCs w:val="21"/>
                <w:lang w:bidi="ar"/>
              </w:rPr>
              <w:t>《海绵城市规划与设计标准》DG/TJ08-2298-2026</w:t>
            </w:r>
          </w:p>
          <w:p w14:paraId="20092C1C">
            <w:pPr>
              <w:pStyle w:val="20"/>
              <w:tabs>
                <w:tab w:val="left" w:pos="0"/>
              </w:tabs>
              <w:ind w:firstLine="0" w:firstLineChars="0"/>
              <w:rPr>
                <w:rFonts w:cs="Times New Roman"/>
                <w:sz w:val="21"/>
                <w:szCs w:val="21"/>
              </w:rPr>
            </w:pPr>
            <w:r>
              <w:rPr>
                <w:rFonts w:cs="Times New Roman"/>
                <w:sz w:val="21"/>
                <w:szCs w:val="21"/>
                <w:lang w:bidi="ar"/>
              </w:rPr>
              <w:t xml:space="preserve">4.0.7 </w:t>
            </w:r>
            <w:r>
              <w:rPr>
                <w:rFonts w:hint="eastAsia" w:cs="宋体"/>
                <w:sz w:val="21"/>
                <w:szCs w:val="21"/>
                <w:lang w:bidi="ar"/>
              </w:rPr>
              <w:t>雨水管渠设计重现期的取值应符合下列规定：</w:t>
            </w:r>
          </w:p>
          <w:p w14:paraId="55121064">
            <w:pPr>
              <w:pStyle w:val="20"/>
              <w:tabs>
                <w:tab w:val="left" w:pos="0"/>
              </w:tabs>
              <w:ind w:firstLine="420"/>
              <w:rPr>
                <w:rFonts w:cs="Times New Roman"/>
                <w:sz w:val="21"/>
                <w:szCs w:val="21"/>
              </w:rPr>
            </w:pPr>
            <w:r>
              <w:rPr>
                <w:rFonts w:cs="Times New Roman"/>
                <w:sz w:val="21"/>
                <w:szCs w:val="21"/>
                <w:lang w:bidi="ar"/>
              </w:rPr>
              <w:t xml:space="preserve">1 </w:t>
            </w:r>
            <w:r>
              <w:rPr>
                <w:rFonts w:hint="eastAsia" w:cs="宋体"/>
                <w:sz w:val="21"/>
                <w:szCs w:val="21"/>
                <w:lang w:bidi="ar"/>
              </w:rPr>
              <w:t>新建地区应按表</w:t>
            </w:r>
            <w:r>
              <w:rPr>
                <w:rFonts w:cs="Times New Roman"/>
                <w:sz w:val="21"/>
                <w:szCs w:val="21"/>
                <w:lang w:bidi="ar"/>
              </w:rPr>
              <w:t>4.0.7</w:t>
            </w:r>
            <w:r>
              <w:rPr>
                <w:rFonts w:hint="eastAsia" w:cs="宋体"/>
                <w:sz w:val="21"/>
                <w:szCs w:val="21"/>
                <w:lang w:bidi="ar"/>
              </w:rPr>
              <w:t>取值。</w:t>
            </w:r>
          </w:p>
          <w:p w14:paraId="23D58C3E">
            <w:pPr>
              <w:pStyle w:val="20"/>
              <w:tabs>
                <w:tab w:val="left" w:pos="0"/>
              </w:tabs>
              <w:ind w:firstLine="420"/>
              <w:rPr>
                <w:rFonts w:cs="Times New Roman"/>
                <w:sz w:val="21"/>
                <w:szCs w:val="21"/>
              </w:rPr>
            </w:pPr>
            <w:r>
              <w:rPr>
                <w:rFonts w:cs="Times New Roman"/>
                <w:sz w:val="21"/>
                <w:szCs w:val="21"/>
                <w:lang w:bidi="ar"/>
              </w:rPr>
              <w:t xml:space="preserve">2 </w:t>
            </w:r>
            <w:r>
              <w:rPr>
                <w:rFonts w:hint="eastAsia" w:cs="宋体"/>
                <w:sz w:val="21"/>
                <w:szCs w:val="21"/>
                <w:lang w:bidi="ar"/>
              </w:rPr>
              <w:t>建成区宜结合地区改建、道路建设等更新雨水排水系统，并可利用系统内的雨水管渠、调蓄设施和泵站共同作用，达到与表</w:t>
            </w:r>
            <w:r>
              <w:rPr>
                <w:rFonts w:cs="Times New Roman"/>
                <w:sz w:val="21"/>
                <w:szCs w:val="21"/>
                <w:lang w:bidi="ar"/>
              </w:rPr>
              <w:t>4.0.7</w:t>
            </w:r>
            <w:r>
              <w:rPr>
                <w:rFonts w:hint="eastAsia" w:cs="宋体"/>
                <w:sz w:val="21"/>
                <w:szCs w:val="21"/>
                <w:lang w:bidi="ar"/>
              </w:rPr>
              <w:t>设计重现期要求等同的排水能力。</w:t>
            </w:r>
          </w:p>
          <w:p w14:paraId="610245D7">
            <w:pPr>
              <w:pStyle w:val="20"/>
              <w:tabs>
                <w:tab w:val="left" w:pos="0"/>
              </w:tabs>
              <w:ind w:firstLine="0" w:firstLineChars="0"/>
              <w:jc w:val="center"/>
              <w:rPr>
                <w:rFonts w:cs="Times New Roman"/>
                <w:sz w:val="21"/>
                <w:szCs w:val="21"/>
              </w:rPr>
            </w:pPr>
            <w:r>
              <w:rPr>
                <w:rFonts w:hint="eastAsia" w:cs="宋体"/>
                <w:sz w:val="21"/>
                <w:szCs w:val="21"/>
                <w:lang w:bidi="ar"/>
              </w:rPr>
              <w:t>表</w:t>
            </w:r>
            <w:r>
              <w:rPr>
                <w:rFonts w:cs="Times New Roman"/>
                <w:sz w:val="21"/>
                <w:szCs w:val="21"/>
                <w:lang w:bidi="ar"/>
              </w:rPr>
              <w:t>4.0.7</w:t>
            </w:r>
            <w:r>
              <w:rPr>
                <w:rFonts w:hint="eastAsia" w:cs="宋体"/>
                <w:sz w:val="21"/>
                <w:szCs w:val="21"/>
                <w:lang w:bidi="ar"/>
              </w:rPr>
              <w:t>雨水管渠设计重现期</w:t>
            </w:r>
          </w:p>
          <w:tbl>
            <w:tblPr>
              <w:tblStyle w:val="23"/>
              <w:tblW w:w="6712" w:type="dxa"/>
              <w:tblInd w:w="15" w:type="dxa"/>
              <w:tblBorders>
                <w:top w:val="single" w:color="auto" w:sz="8" w:space="0"/>
                <w:left w:val="none" w:color="auto" w:sz="4" w:space="0"/>
                <w:bottom w:val="single" w:color="auto" w:sz="8" w:space="0"/>
                <w:right w:val="non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947"/>
              <w:gridCol w:w="2137"/>
            </w:tblGrid>
            <w:tr w14:paraId="4B5533A8">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57" w:type="pct"/>
                  <w:tcBorders>
                    <w:top w:val="single" w:color="auto" w:sz="8" w:space="0"/>
                    <w:left w:val="nil"/>
                    <w:bottom w:val="single" w:color="auto" w:sz="4" w:space="0"/>
                    <w:right w:val="single" w:color="auto" w:sz="4" w:space="0"/>
                  </w:tcBorders>
                  <w:vAlign w:val="center"/>
                </w:tcPr>
                <w:p w14:paraId="16FBFEB3">
                  <w:pPr>
                    <w:pStyle w:val="20"/>
                    <w:tabs>
                      <w:tab w:val="left" w:pos="0"/>
                    </w:tabs>
                    <w:ind w:firstLine="0" w:firstLineChars="0"/>
                    <w:jc w:val="center"/>
                    <w:rPr>
                      <w:rFonts w:cs="Times New Roman"/>
                      <w:bCs/>
                      <w:sz w:val="21"/>
                      <w:szCs w:val="21"/>
                    </w:rPr>
                  </w:pPr>
                  <w:r>
                    <w:rPr>
                      <w:rFonts w:hint="eastAsia" w:cs="宋体"/>
                      <w:bCs/>
                      <w:sz w:val="21"/>
                      <w:szCs w:val="21"/>
                      <w:lang w:bidi="ar"/>
                    </w:rPr>
                    <w:t>区域位置</w:t>
                  </w:r>
                </w:p>
              </w:tc>
              <w:tc>
                <w:tcPr>
                  <w:tcW w:w="1450" w:type="pct"/>
                  <w:tcBorders>
                    <w:top w:val="single" w:color="auto" w:sz="8" w:space="0"/>
                    <w:left w:val="single" w:color="auto" w:sz="4" w:space="0"/>
                    <w:bottom w:val="single" w:color="auto" w:sz="4" w:space="0"/>
                    <w:right w:val="single" w:color="auto" w:sz="4" w:space="0"/>
                  </w:tcBorders>
                </w:tcPr>
                <w:p w14:paraId="403B41DA">
                  <w:pPr>
                    <w:pStyle w:val="20"/>
                    <w:tabs>
                      <w:tab w:val="left" w:pos="0"/>
                    </w:tabs>
                    <w:ind w:firstLine="0" w:firstLineChars="0"/>
                    <w:jc w:val="center"/>
                    <w:rPr>
                      <w:rFonts w:cs="Times New Roman"/>
                      <w:bCs/>
                      <w:sz w:val="21"/>
                      <w:szCs w:val="21"/>
                    </w:rPr>
                  </w:pPr>
                  <w:r>
                    <w:rPr>
                      <w:rFonts w:hint="eastAsia" w:cs="宋体"/>
                      <w:bCs/>
                      <w:sz w:val="21"/>
                      <w:szCs w:val="21"/>
                      <w:lang w:bidi="ar"/>
                    </w:rPr>
                    <w:t>雨水管渠</w:t>
                  </w:r>
                </w:p>
                <w:p w14:paraId="6BFABE15">
                  <w:pPr>
                    <w:pStyle w:val="20"/>
                    <w:tabs>
                      <w:tab w:val="left" w:pos="0"/>
                    </w:tabs>
                    <w:ind w:firstLine="0" w:firstLineChars="0"/>
                    <w:jc w:val="center"/>
                    <w:rPr>
                      <w:rFonts w:cs="Times New Roman"/>
                      <w:bCs/>
                      <w:sz w:val="21"/>
                      <w:szCs w:val="21"/>
                    </w:rPr>
                  </w:pPr>
                  <w:r>
                    <w:rPr>
                      <w:rFonts w:hint="eastAsia" w:cs="宋体"/>
                      <w:bCs/>
                      <w:sz w:val="21"/>
                      <w:szCs w:val="21"/>
                      <w:lang w:bidi="ar"/>
                    </w:rPr>
                    <w:t>设计重现期</w:t>
                  </w:r>
                </w:p>
              </w:tc>
              <w:tc>
                <w:tcPr>
                  <w:tcW w:w="1591" w:type="pct"/>
                  <w:tcBorders>
                    <w:top w:val="single" w:color="auto" w:sz="8" w:space="0"/>
                    <w:left w:val="single" w:color="auto" w:sz="4" w:space="0"/>
                    <w:bottom w:val="single" w:color="auto" w:sz="4" w:space="0"/>
                    <w:right w:val="nil"/>
                  </w:tcBorders>
                </w:tcPr>
                <w:p w14:paraId="1369E13C">
                  <w:pPr>
                    <w:pStyle w:val="20"/>
                    <w:tabs>
                      <w:tab w:val="left" w:pos="0"/>
                    </w:tabs>
                    <w:ind w:left="-105" w:leftChars="-50" w:right="-105" w:rightChars="-50" w:firstLine="0" w:firstLineChars="0"/>
                    <w:jc w:val="center"/>
                    <w:rPr>
                      <w:rFonts w:cs="Times New Roman"/>
                      <w:bCs/>
                      <w:sz w:val="21"/>
                      <w:szCs w:val="21"/>
                    </w:rPr>
                  </w:pPr>
                  <w:r>
                    <w:rPr>
                      <w:rFonts w:hint="eastAsia" w:cs="宋体"/>
                      <w:bCs/>
                      <w:sz w:val="21"/>
                      <w:szCs w:val="21"/>
                      <w:lang w:bidi="ar"/>
                    </w:rPr>
                    <w:t>小时设计降雨强度（</w:t>
                  </w:r>
                  <w:r>
                    <w:rPr>
                      <w:rFonts w:cs="Times New Roman"/>
                      <w:bCs/>
                      <w:sz w:val="21"/>
                      <w:szCs w:val="21"/>
                      <w:lang w:bidi="ar"/>
                    </w:rPr>
                    <w:t>mm/h</w:t>
                  </w:r>
                  <w:r>
                    <w:rPr>
                      <w:rFonts w:hint="eastAsia" w:cs="宋体"/>
                      <w:bCs/>
                      <w:sz w:val="21"/>
                      <w:szCs w:val="21"/>
                      <w:lang w:bidi="ar"/>
                    </w:rPr>
                    <w:t>）</w:t>
                  </w:r>
                </w:p>
              </w:tc>
            </w:tr>
            <w:tr w14:paraId="548FAA70">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1957" w:type="pct"/>
                  <w:tcBorders>
                    <w:top w:val="single" w:color="auto" w:sz="4" w:space="0"/>
                    <w:left w:val="nil"/>
                    <w:bottom w:val="single" w:color="auto" w:sz="4" w:space="0"/>
                    <w:right w:val="single" w:color="auto" w:sz="4" w:space="0"/>
                  </w:tcBorders>
                </w:tcPr>
                <w:p w14:paraId="13C538F0">
                  <w:pPr>
                    <w:pStyle w:val="20"/>
                    <w:tabs>
                      <w:tab w:val="left" w:pos="0"/>
                    </w:tabs>
                    <w:ind w:firstLine="0" w:firstLineChars="0"/>
                    <w:jc w:val="center"/>
                    <w:rPr>
                      <w:rFonts w:cs="Times New Roman"/>
                      <w:bCs/>
                      <w:sz w:val="21"/>
                      <w:szCs w:val="21"/>
                    </w:rPr>
                  </w:pPr>
                  <w:r>
                    <w:rPr>
                      <w:rFonts w:hint="eastAsia" w:cs="宋体"/>
                      <w:bCs/>
                      <w:sz w:val="21"/>
                      <w:szCs w:val="21"/>
                      <w:lang w:bidi="ar"/>
                    </w:rPr>
                    <w:t>主城区及新城</w:t>
                  </w:r>
                </w:p>
              </w:tc>
              <w:tc>
                <w:tcPr>
                  <w:tcW w:w="1450" w:type="pct"/>
                  <w:tcBorders>
                    <w:top w:val="single" w:color="auto" w:sz="4" w:space="0"/>
                    <w:left w:val="single" w:color="auto" w:sz="4" w:space="0"/>
                    <w:bottom w:val="single" w:color="auto" w:sz="4" w:space="0"/>
                    <w:right w:val="single" w:color="auto" w:sz="4" w:space="0"/>
                  </w:tcBorders>
                </w:tcPr>
                <w:p w14:paraId="41C02B01">
                  <w:pPr>
                    <w:pStyle w:val="20"/>
                    <w:tabs>
                      <w:tab w:val="left" w:pos="0"/>
                    </w:tabs>
                    <w:ind w:firstLine="0" w:firstLineChars="0"/>
                    <w:jc w:val="center"/>
                    <w:rPr>
                      <w:rFonts w:cs="Times New Roman"/>
                      <w:bCs/>
                      <w:sz w:val="21"/>
                      <w:szCs w:val="21"/>
                    </w:rPr>
                  </w:pPr>
                  <w:r>
                    <w:rPr>
                      <w:rFonts w:hint="eastAsia" w:cs="宋体"/>
                      <w:bCs/>
                      <w:sz w:val="21"/>
                      <w:szCs w:val="21"/>
                      <w:lang w:bidi="ar"/>
                    </w:rPr>
                    <w:t>≥</w:t>
                  </w:r>
                  <w:r>
                    <w:rPr>
                      <w:rFonts w:cs="Times New Roman"/>
                      <w:bCs/>
                      <w:sz w:val="21"/>
                      <w:szCs w:val="21"/>
                      <w:lang w:bidi="ar"/>
                    </w:rPr>
                    <w:t>5</w:t>
                  </w:r>
                  <w:r>
                    <w:rPr>
                      <w:rFonts w:hint="eastAsia" w:cs="宋体"/>
                      <w:bCs/>
                      <w:sz w:val="21"/>
                      <w:szCs w:val="21"/>
                      <w:lang w:bidi="ar"/>
                    </w:rPr>
                    <w:t>年一遇</w:t>
                  </w:r>
                </w:p>
              </w:tc>
              <w:tc>
                <w:tcPr>
                  <w:tcW w:w="1591" w:type="pct"/>
                  <w:tcBorders>
                    <w:top w:val="single" w:color="auto" w:sz="4" w:space="0"/>
                    <w:left w:val="single" w:color="auto" w:sz="4" w:space="0"/>
                    <w:bottom w:val="single" w:color="auto" w:sz="4" w:space="0"/>
                    <w:right w:val="nil"/>
                  </w:tcBorders>
                </w:tcPr>
                <w:p w14:paraId="4B05E44D">
                  <w:pPr>
                    <w:pStyle w:val="20"/>
                    <w:tabs>
                      <w:tab w:val="left" w:pos="0"/>
                    </w:tabs>
                    <w:ind w:firstLine="0" w:firstLineChars="0"/>
                    <w:jc w:val="center"/>
                    <w:rPr>
                      <w:rFonts w:cs="Times New Roman"/>
                      <w:bCs/>
                      <w:sz w:val="21"/>
                      <w:szCs w:val="21"/>
                    </w:rPr>
                  </w:pPr>
                  <w:r>
                    <w:rPr>
                      <w:rFonts w:cs="Times New Roman"/>
                      <w:bCs/>
                      <w:sz w:val="21"/>
                      <w:szCs w:val="21"/>
                      <w:lang w:bidi="ar"/>
                    </w:rPr>
                    <w:t>58.0</w:t>
                  </w:r>
                </w:p>
              </w:tc>
            </w:tr>
            <w:tr w14:paraId="5E3639B0">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1957" w:type="pct"/>
                  <w:tcBorders>
                    <w:top w:val="single" w:color="auto" w:sz="4" w:space="0"/>
                    <w:left w:val="nil"/>
                    <w:bottom w:val="single" w:color="auto" w:sz="4" w:space="0"/>
                    <w:right w:val="single" w:color="auto" w:sz="4" w:space="0"/>
                  </w:tcBorders>
                </w:tcPr>
                <w:p w14:paraId="01AA4EEB">
                  <w:pPr>
                    <w:pStyle w:val="20"/>
                    <w:tabs>
                      <w:tab w:val="left" w:pos="0"/>
                    </w:tabs>
                    <w:ind w:firstLine="0" w:firstLineChars="0"/>
                    <w:jc w:val="center"/>
                    <w:rPr>
                      <w:rFonts w:cs="Times New Roman"/>
                      <w:bCs/>
                      <w:sz w:val="21"/>
                      <w:szCs w:val="21"/>
                    </w:rPr>
                  </w:pPr>
                  <w:r>
                    <w:rPr>
                      <w:rFonts w:hint="eastAsia" w:cs="宋体"/>
                      <w:bCs/>
                      <w:sz w:val="21"/>
                      <w:szCs w:val="21"/>
                      <w:lang w:bidi="ar"/>
                    </w:rPr>
                    <w:t>其他地区</w:t>
                  </w:r>
                </w:p>
              </w:tc>
              <w:tc>
                <w:tcPr>
                  <w:tcW w:w="1450" w:type="pct"/>
                  <w:tcBorders>
                    <w:top w:val="single" w:color="auto" w:sz="4" w:space="0"/>
                    <w:left w:val="single" w:color="auto" w:sz="4" w:space="0"/>
                    <w:bottom w:val="single" w:color="auto" w:sz="4" w:space="0"/>
                    <w:right w:val="single" w:color="auto" w:sz="4" w:space="0"/>
                  </w:tcBorders>
                </w:tcPr>
                <w:p w14:paraId="3D247BF6">
                  <w:pPr>
                    <w:pStyle w:val="20"/>
                    <w:tabs>
                      <w:tab w:val="left" w:pos="0"/>
                    </w:tabs>
                    <w:ind w:firstLine="0" w:firstLineChars="0"/>
                    <w:jc w:val="center"/>
                    <w:rPr>
                      <w:rFonts w:cs="Times New Roman"/>
                      <w:bCs/>
                      <w:sz w:val="21"/>
                      <w:szCs w:val="21"/>
                    </w:rPr>
                  </w:pPr>
                  <w:r>
                    <w:rPr>
                      <w:rFonts w:hint="eastAsia" w:cs="宋体"/>
                      <w:bCs/>
                      <w:sz w:val="21"/>
                      <w:szCs w:val="21"/>
                      <w:lang w:bidi="ar"/>
                    </w:rPr>
                    <w:t>≥</w:t>
                  </w:r>
                  <w:r>
                    <w:rPr>
                      <w:rFonts w:cs="Times New Roman"/>
                      <w:bCs/>
                      <w:sz w:val="21"/>
                      <w:szCs w:val="21"/>
                      <w:lang w:bidi="ar"/>
                    </w:rPr>
                    <w:t>3</w:t>
                  </w:r>
                  <w:r>
                    <w:rPr>
                      <w:rFonts w:hint="eastAsia" w:cs="宋体"/>
                      <w:bCs/>
                      <w:sz w:val="21"/>
                      <w:szCs w:val="21"/>
                      <w:lang w:bidi="ar"/>
                    </w:rPr>
                    <w:t>年一遇</w:t>
                  </w:r>
                </w:p>
              </w:tc>
              <w:tc>
                <w:tcPr>
                  <w:tcW w:w="1591" w:type="pct"/>
                  <w:tcBorders>
                    <w:top w:val="single" w:color="auto" w:sz="4" w:space="0"/>
                    <w:left w:val="single" w:color="auto" w:sz="4" w:space="0"/>
                    <w:bottom w:val="single" w:color="auto" w:sz="4" w:space="0"/>
                    <w:right w:val="nil"/>
                  </w:tcBorders>
                </w:tcPr>
                <w:p w14:paraId="3A352C2C">
                  <w:pPr>
                    <w:pStyle w:val="20"/>
                    <w:tabs>
                      <w:tab w:val="left" w:pos="0"/>
                    </w:tabs>
                    <w:ind w:firstLine="0" w:firstLineChars="0"/>
                    <w:jc w:val="center"/>
                    <w:rPr>
                      <w:rFonts w:cs="Times New Roman"/>
                      <w:bCs/>
                      <w:sz w:val="21"/>
                      <w:szCs w:val="21"/>
                    </w:rPr>
                  </w:pPr>
                  <w:r>
                    <w:rPr>
                      <w:rFonts w:cs="Times New Roman"/>
                      <w:bCs/>
                      <w:sz w:val="21"/>
                      <w:szCs w:val="21"/>
                      <w:lang w:bidi="ar"/>
                    </w:rPr>
                    <w:t>51.2</w:t>
                  </w:r>
                </w:p>
              </w:tc>
            </w:tr>
            <w:tr w14:paraId="2699B4EF">
              <w:tblPrEx>
                <w:tblBorders>
                  <w:top w:val="single" w:color="auto" w:sz="8" w:space="0"/>
                  <w:left w:val="none" w:color="auto" w:sz="4" w:space="0"/>
                  <w:bottom w:val="single" w:color="auto" w:sz="8"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1957" w:type="pct"/>
                  <w:tcBorders>
                    <w:top w:val="single" w:color="auto" w:sz="4" w:space="0"/>
                    <w:left w:val="nil"/>
                    <w:bottom w:val="single" w:color="auto" w:sz="8" w:space="0"/>
                    <w:right w:val="single" w:color="auto" w:sz="4" w:space="0"/>
                  </w:tcBorders>
                </w:tcPr>
                <w:p w14:paraId="25FFE86F">
                  <w:pPr>
                    <w:pStyle w:val="20"/>
                    <w:tabs>
                      <w:tab w:val="left" w:pos="0"/>
                    </w:tabs>
                    <w:ind w:firstLine="0" w:firstLineChars="0"/>
                    <w:jc w:val="center"/>
                    <w:rPr>
                      <w:rFonts w:cs="Times New Roman"/>
                      <w:bCs/>
                      <w:sz w:val="21"/>
                      <w:szCs w:val="21"/>
                    </w:rPr>
                  </w:pPr>
                  <w:r>
                    <w:rPr>
                      <w:rFonts w:hint="eastAsia" w:cs="宋体"/>
                      <w:bCs/>
                      <w:sz w:val="21"/>
                      <w:szCs w:val="21"/>
                      <w:lang w:bidi="ar"/>
                    </w:rPr>
                    <w:t>地下通道和下沉式广场等</w:t>
                  </w:r>
                </w:p>
              </w:tc>
              <w:tc>
                <w:tcPr>
                  <w:tcW w:w="1450" w:type="pct"/>
                  <w:tcBorders>
                    <w:top w:val="single" w:color="auto" w:sz="4" w:space="0"/>
                    <w:left w:val="single" w:color="auto" w:sz="4" w:space="0"/>
                    <w:bottom w:val="single" w:color="auto" w:sz="8" w:space="0"/>
                    <w:right w:val="single" w:color="auto" w:sz="4" w:space="0"/>
                  </w:tcBorders>
                </w:tcPr>
                <w:p w14:paraId="14288797">
                  <w:pPr>
                    <w:pStyle w:val="20"/>
                    <w:tabs>
                      <w:tab w:val="left" w:pos="0"/>
                    </w:tabs>
                    <w:ind w:firstLine="0" w:firstLineChars="0"/>
                    <w:jc w:val="center"/>
                    <w:rPr>
                      <w:rFonts w:cs="Times New Roman"/>
                      <w:bCs/>
                      <w:sz w:val="21"/>
                      <w:szCs w:val="21"/>
                    </w:rPr>
                  </w:pPr>
                  <w:r>
                    <w:rPr>
                      <w:rFonts w:cs="Times New Roman"/>
                      <w:bCs/>
                      <w:sz w:val="21"/>
                      <w:szCs w:val="21"/>
                      <w:lang w:bidi="ar"/>
                    </w:rPr>
                    <w:t>30~50</w:t>
                  </w:r>
                  <w:r>
                    <w:rPr>
                      <w:rFonts w:hint="eastAsia" w:cs="宋体"/>
                      <w:bCs/>
                      <w:sz w:val="21"/>
                      <w:szCs w:val="21"/>
                      <w:lang w:bidi="ar"/>
                    </w:rPr>
                    <w:t>年一遇</w:t>
                  </w:r>
                </w:p>
              </w:tc>
              <w:tc>
                <w:tcPr>
                  <w:tcW w:w="1591" w:type="pct"/>
                  <w:tcBorders>
                    <w:top w:val="single" w:color="auto" w:sz="4" w:space="0"/>
                    <w:left w:val="single" w:color="auto" w:sz="4" w:space="0"/>
                    <w:bottom w:val="single" w:color="auto" w:sz="8" w:space="0"/>
                    <w:right w:val="nil"/>
                  </w:tcBorders>
                </w:tcPr>
                <w:p w14:paraId="6818172A">
                  <w:pPr>
                    <w:pStyle w:val="20"/>
                    <w:tabs>
                      <w:tab w:val="left" w:pos="0"/>
                    </w:tabs>
                    <w:ind w:firstLine="0" w:firstLineChars="0"/>
                    <w:jc w:val="center"/>
                    <w:rPr>
                      <w:rFonts w:cs="Times New Roman"/>
                      <w:bCs/>
                      <w:sz w:val="21"/>
                      <w:szCs w:val="21"/>
                    </w:rPr>
                  </w:pPr>
                  <w:r>
                    <w:rPr>
                      <w:rFonts w:cs="Times New Roman"/>
                      <w:bCs/>
                      <w:sz w:val="21"/>
                      <w:szCs w:val="21"/>
                      <w:lang w:bidi="ar"/>
                    </w:rPr>
                    <w:t>82.0~89.8</w:t>
                  </w:r>
                </w:p>
              </w:tc>
            </w:tr>
          </w:tbl>
          <w:p w14:paraId="3D867778">
            <w:pPr>
              <w:pStyle w:val="20"/>
              <w:tabs>
                <w:tab w:val="left" w:pos="0"/>
              </w:tabs>
              <w:ind w:left="53" w:leftChars="25" w:firstLine="0" w:firstLineChars="0"/>
              <w:rPr>
                <w:rFonts w:cs="Times New Roman"/>
                <w:sz w:val="21"/>
                <w:szCs w:val="21"/>
              </w:rPr>
            </w:pPr>
            <w:r>
              <w:rPr>
                <w:rFonts w:hint="eastAsia" w:cs="宋体"/>
                <w:sz w:val="21"/>
                <w:szCs w:val="21"/>
                <w:lang w:bidi="ar"/>
              </w:rPr>
              <w:t>注：表中所列设计重现期适用于采用年最大值法确定的暴雨强度公式。</w:t>
            </w:r>
          </w:p>
          <w:p w14:paraId="2598350D">
            <w:pPr>
              <w:pStyle w:val="20"/>
              <w:tabs>
                <w:tab w:val="left" w:pos="0"/>
              </w:tabs>
              <w:ind w:left="53" w:leftChars="25" w:firstLine="0" w:firstLineChars="0"/>
              <w:rPr>
                <w:rFonts w:hint="eastAsia" w:ascii="Times New Roman" w:hAnsi="Times New Roman" w:eastAsia="宋体" w:cs="宋体"/>
                <w:kern w:val="2"/>
                <w:sz w:val="21"/>
                <w:szCs w:val="21"/>
                <w:lang w:val="en-US" w:eastAsia="zh-CN" w:bidi="ar"/>
              </w:rPr>
            </w:pPr>
            <w:r>
              <w:rPr>
                <w:rFonts w:cs="Times New Roman"/>
                <w:sz w:val="21"/>
                <w:szCs w:val="21"/>
                <w:lang w:bidi="ar"/>
              </w:rPr>
              <w:t xml:space="preserve">4.0.8 </w:t>
            </w:r>
            <w:r>
              <w:rPr>
                <w:rFonts w:hint="eastAsia" w:cs="宋体"/>
                <w:sz w:val="21"/>
                <w:szCs w:val="21"/>
                <w:lang w:bidi="ar"/>
              </w:rPr>
              <w:t>已设置源头减排设施的建设区域不应降低城镇雨水管渠设计标准。</w:t>
            </w:r>
          </w:p>
        </w:tc>
      </w:tr>
      <w:tr w14:paraId="1A02EA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7" w:type="pct"/>
            <w:tcBorders>
              <w:tl2br w:val="nil"/>
              <w:tr2bl w:val="nil"/>
            </w:tcBorders>
            <w:vAlign w:val="center"/>
          </w:tcPr>
          <w:p w14:paraId="6F707B0F">
            <w:pPr>
              <w:widowControl/>
              <w:numPr>
                <w:ilvl w:val="0"/>
                <w:numId w:val="7"/>
              </w:numPr>
              <w:ind w:firstLineChars="0"/>
              <w:contextualSpacing/>
              <w:jc w:val="center"/>
              <w:rPr>
                <w:rFonts w:eastAsia="黑体"/>
                <w:bCs/>
                <w:kern w:val="0"/>
                <w:szCs w:val="21"/>
              </w:rPr>
            </w:pPr>
          </w:p>
        </w:tc>
        <w:tc>
          <w:tcPr>
            <w:tcW w:w="648" w:type="pct"/>
            <w:tcBorders>
              <w:tl2br w:val="nil"/>
              <w:tr2bl w:val="nil"/>
            </w:tcBorders>
            <w:vAlign w:val="center"/>
          </w:tcPr>
          <w:p w14:paraId="1B8AB9ED">
            <w:pPr>
              <w:ind w:firstLine="0" w:firstLineChars="0"/>
              <w:jc w:val="center"/>
              <w:rPr>
                <w:rFonts w:hint="eastAsia" w:ascii="Times New Roman" w:hAnsi="Times New Roman" w:eastAsia="宋体" w:cs="宋体"/>
                <w:szCs w:val="21"/>
                <w:lang w:bidi="ar"/>
              </w:rPr>
            </w:pPr>
            <w:r>
              <w:rPr>
                <w:rFonts w:hint="eastAsia" w:cs="宋体"/>
                <w:bCs/>
                <w:kern w:val="0"/>
                <w:szCs w:val="21"/>
                <w:lang w:bidi="ar"/>
              </w:rPr>
              <w:t>生物滞留设施、下凹式绿地</w:t>
            </w:r>
          </w:p>
        </w:tc>
        <w:tc>
          <w:tcPr>
            <w:tcW w:w="3964" w:type="pct"/>
            <w:tcBorders>
              <w:tl2br w:val="nil"/>
              <w:tr2bl w:val="nil"/>
            </w:tcBorders>
            <w:vAlign w:val="center"/>
          </w:tcPr>
          <w:p w14:paraId="596D8215">
            <w:pPr>
              <w:pStyle w:val="20"/>
              <w:tabs>
                <w:tab w:val="left" w:pos="0"/>
              </w:tabs>
              <w:ind w:firstLine="0" w:firstLineChars="0"/>
              <w:rPr>
                <w:rFonts w:cs="Times New Roman"/>
                <w:b/>
                <w:bCs/>
                <w:sz w:val="21"/>
                <w:szCs w:val="21"/>
              </w:rPr>
            </w:pPr>
            <w:r>
              <w:rPr>
                <w:rFonts w:hint="eastAsia" w:cs="宋体"/>
                <w:b/>
                <w:bCs/>
                <w:sz w:val="21"/>
                <w:szCs w:val="21"/>
                <w:lang w:bidi="ar"/>
              </w:rPr>
              <w:t>《海绵城市规划与设计标准》DG/TJ 08-2298-2026</w:t>
            </w:r>
          </w:p>
          <w:p w14:paraId="59B06760">
            <w:pPr>
              <w:tabs>
                <w:tab w:val="left" w:pos="0"/>
              </w:tabs>
              <w:ind w:firstLine="0" w:firstLineChars="0"/>
              <w:rPr>
                <w:rFonts w:cs="Times New Roman"/>
                <w:szCs w:val="21"/>
              </w:rPr>
            </w:pPr>
            <w:r>
              <w:rPr>
                <w:rFonts w:cs="Times New Roman"/>
                <w:szCs w:val="21"/>
                <w:lang w:bidi="ar"/>
              </w:rPr>
              <w:t xml:space="preserve">6.1.8 </w:t>
            </w:r>
            <w:r>
              <w:rPr>
                <w:rFonts w:hint="eastAsia" w:cs="宋体"/>
                <w:szCs w:val="21"/>
                <w:lang w:bidi="ar"/>
              </w:rPr>
              <w:t>源头减排设施应根据调蓄水位设置溢流口，并应与下游雨水管渠系统或排涝除险系统相衔接。溢流口的设计流量应为雨水管渠设计重现期计算流量的</w:t>
            </w:r>
            <w:r>
              <w:rPr>
                <w:rFonts w:cs="Times New Roman"/>
                <w:szCs w:val="21"/>
                <w:lang w:bidi="ar"/>
              </w:rPr>
              <w:t>1.5</w:t>
            </w:r>
            <w:r>
              <w:rPr>
                <w:rFonts w:hint="eastAsia" w:cs="宋体"/>
                <w:szCs w:val="21"/>
                <w:lang w:bidi="ar"/>
              </w:rPr>
              <w:t>倍~</w:t>
            </w:r>
            <w:r>
              <w:rPr>
                <w:rFonts w:cs="Times New Roman"/>
                <w:szCs w:val="21"/>
                <w:lang w:bidi="ar"/>
              </w:rPr>
              <w:t>3</w:t>
            </w:r>
            <w:r>
              <w:rPr>
                <w:rFonts w:hint="eastAsia" w:cs="宋体"/>
                <w:szCs w:val="21"/>
                <w:lang w:bidi="ar"/>
              </w:rPr>
              <w:t>倍。</w:t>
            </w:r>
          </w:p>
          <w:p w14:paraId="59453AFC">
            <w:pPr>
              <w:tabs>
                <w:tab w:val="left" w:pos="0"/>
              </w:tabs>
              <w:ind w:firstLine="0" w:firstLineChars="0"/>
              <w:rPr>
                <w:rFonts w:cs="宋体"/>
                <w:b/>
                <w:bCs/>
                <w:i/>
                <w:iCs/>
                <w:szCs w:val="21"/>
                <w:lang w:bidi="ar"/>
              </w:rPr>
            </w:pPr>
            <w:r>
              <w:rPr>
                <w:rFonts w:hint="eastAsia" w:cs="宋体"/>
                <w:b/>
                <w:bCs/>
                <w:i/>
                <w:iCs/>
                <w:szCs w:val="21"/>
                <w:lang w:bidi="ar"/>
              </w:rPr>
              <w:t>审查说明：海绵设施溢流口应与下游管渠合理衔接，标高合理，溢流口排水能力应满足汇水范围内排水安全要求，并复核在堰流、孔口流两种工况下是否均满足，应在计算书中明确计算过程及复核结果。</w:t>
            </w:r>
          </w:p>
          <w:p w14:paraId="5D963223">
            <w:pPr>
              <w:tabs>
                <w:tab w:val="left" w:pos="0"/>
              </w:tabs>
              <w:ind w:firstLine="0" w:firstLineChars="0"/>
              <w:rPr>
                <w:rFonts w:cs="Times New Roman"/>
                <w:b/>
                <w:bCs/>
                <w:i/>
                <w:iCs/>
                <w:szCs w:val="21"/>
              </w:rPr>
            </w:pPr>
          </w:p>
          <w:p w14:paraId="52AA4D6A">
            <w:pPr>
              <w:pStyle w:val="20"/>
              <w:tabs>
                <w:tab w:val="left" w:pos="0"/>
              </w:tabs>
              <w:ind w:firstLine="0" w:firstLineChars="0"/>
              <w:rPr>
                <w:rFonts w:cs="Times New Roman"/>
                <w:sz w:val="21"/>
                <w:szCs w:val="21"/>
              </w:rPr>
            </w:pPr>
            <w:r>
              <w:rPr>
                <w:rFonts w:cs="Times New Roman"/>
                <w:sz w:val="21"/>
                <w:szCs w:val="21"/>
                <w:lang w:bidi="ar"/>
              </w:rPr>
              <w:t xml:space="preserve">6.1.9 </w:t>
            </w:r>
            <w:r>
              <w:rPr>
                <w:rFonts w:hint="eastAsia" w:cs="宋体"/>
                <w:sz w:val="21"/>
                <w:szCs w:val="21"/>
                <w:lang w:bidi="ar"/>
              </w:rPr>
              <w:t>具有渗透功能的源头减排设施的设置应符合下列规定：</w:t>
            </w:r>
          </w:p>
          <w:p w14:paraId="6FD019F0">
            <w:pPr>
              <w:pStyle w:val="20"/>
              <w:tabs>
                <w:tab w:val="left" w:pos="0"/>
              </w:tabs>
              <w:ind w:firstLine="420"/>
              <w:rPr>
                <w:rFonts w:cs="Times New Roman"/>
                <w:sz w:val="21"/>
                <w:szCs w:val="21"/>
                <w:lang w:bidi="ar"/>
              </w:rPr>
            </w:pPr>
            <w:r>
              <w:rPr>
                <w:rFonts w:hint="eastAsia" w:cs="Times New Roman"/>
                <w:sz w:val="21"/>
                <w:szCs w:val="21"/>
                <w:lang w:bidi="ar"/>
              </w:rPr>
              <w:t>1 设施边界与建筑物基础的距离应大于5m，不足5m的应设置防渗膜。</w:t>
            </w:r>
          </w:p>
          <w:p w14:paraId="0752B243">
            <w:pPr>
              <w:pStyle w:val="20"/>
              <w:tabs>
                <w:tab w:val="left" w:pos="0"/>
              </w:tabs>
              <w:ind w:firstLine="420"/>
              <w:rPr>
                <w:rFonts w:cs="宋体"/>
                <w:sz w:val="21"/>
                <w:szCs w:val="21"/>
                <w:lang w:bidi="ar"/>
              </w:rPr>
            </w:pPr>
            <w:r>
              <w:rPr>
                <w:rFonts w:cs="Times New Roman"/>
                <w:sz w:val="21"/>
                <w:szCs w:val="21"/>
                <w:lang w:bidi="ar"/>
              </w:rPr>
              <w:t xml:space="preserve">2 </w:t>
            </w:r>
            <w:r>
              <w:rPr>
                <w:rFonts w:hint="eastAsia" w:cs="宋体"/>
                <w:sz w:val="21"/>
                <w:szCs w:val="21"/>
                <w:lang w:bidi="ar"/>
              </w:rPr>
              <w:t>设施底部与当地的地下水季节性高水位的距离应大于</w:t>
            </w:r>
            <w:r>
              <w:rPr>
                <w:rFonts w:cs="Times New Roman"/>
                <w:sz w:val="21"/>
                <w:szCs w:val="21"/>
                <w:lang w:bidi="ar"/>
              </w:rPr>
              <w:t>1m</w:t>
            </w:r>
            <w:r>
              <w:rPr>
                <w:rFonts w:hint="eastAsia" w:cs="宋体"/>
                <w:sz w:val="21"/>
                <w:szCs w:val="21"/>
                <w:lang w:bidi="ar"/>
              </w:rPr>
              <w:t>，不足</w:t>
            </w:r>
            <w:r>
              <w:rPr>
                <w:rFonts w:cs="Times New Roman"/>
                <w:sz w:val="21"/>
                <w:szCs w:val="21"/>
                <w:lang w:bidi="ar"/>
              </w:rPr>
              <w:t>1m</w:t>
            </w:r>
            <w:r>
              <w:rPr>
                <w:rFonts w:hint="eastAsia" w:cs="宋体"/>
                <w:sz w:val="21"/>
                <w:szCs w:val="21"/>
                <w:lang w:bidi="ar"/>
              </w:rPr>
              <w:t>的应设置防渗膜。</w:t>
            </w:r>
          </w:p>
          <w:p w14:paraId="3389096A">
            <w:pPr>
              <w:pStyle w:val="35"/>
              <w:tabs>
                <w:tab w:val="left" w:pos="0"/>
              </w:tabs>
              <w:rPr>
                <w:b/>
                <w:bCs/>
                <w:i/>
                <w:iCs/>
                <w:szCs w:val="21"/>
              </w:rPr>
            </w:pPr>
            <w:r>
              <w:rPr>
                <w:rFonts w:hint="eastAsia"/>
                <w:b/>
                <w:bCs/>
                <w:i/>
                <w:iCs/>
                <w:szCs w:val="21"/>
              </w:rPr>
              <w:t>审查说明：具有渗透功能的源头减排设施包括生物滞留设施、下凹式绿地等。规定设施与附近建筑基础的安全距离主要是为了避免其积蓄的雨水渗入基础。当设施下方设有防渗膜，并与周围土壤完全隔绝时，可不受本规定限制。同理，当雨水入渗对道路基础可能造成损害时也应采取同样措施。上海市地下水位高，汛期难以满足设施底部与地下水位距离大于1m的要求，具有渗透功能的源头减排设施通常均应设置防渗膜。</w:t>
            </w:r>
          </w:p>
          <w:p w14:paraId="6D0A93B1">
            <w:pPr>
              <w:pStyle w:val="35"/>
              <w:tabs>
                <w:tab w:val="left" w:pos="0"/>
              </w:tabs>
              <w:rPr>
                <w:b/>
                <w:bCs/>
                <w:i/>
                <w:iCs/>
                <w:szCs w:val="21"/>
              </w:rPr>
            </w:pPr>
          </w:p>
          <w:p w14:paraId="35B89295">
            <w:pPr>
              <w:ind w:firstLine="0" w:firstLineChars="0"/>
            </w:pPr>
            <w:r>
              <w:rPr>
                <w:rFonts w:hint="eastAsia"/>
              </w:rPr>
              <w:t>6.4.8</w:t>
            </w:r>
            <w:r>
              <w:rPr>
                <w:rFonts w:hint="eastAsia"/>
                <w:lang w:val="en-US" w:eastAsia="zh-CN"/>
              </w:rPr>
              <w:t xml:space="preserve"> </w:t>
            </w:r>
            <w:r>
              <w:rPr>
                <w:rFonts w:hint="eastAsia"/>
              </w:rPr>
              <w:t>用于源头减排的下凹式绿地的设计应符合下列规定:</w:t>
            </w:r>
          </w:p>
          <w:p w14:paraId="002C5259">
            <w:pPr>
              <w:pStyle w:val="35"/>
              <w:tabs>
                <w:tab w:val="left" w:pos="0"/>
                <w:tab w:val="left" w:pos="420"/>
              </w:tabs>
              <w:ind w:left="420"/>
              <w:rPr>
                <w:szCs w:val="21"/>
              </w:rPr>
            </w:pPr>
            <w:r>
              <w:rPr>
                <w:rFonts w:hint="eastAsia" w:cs="Times New Roman" w:eastAsiaTheme="minorEastAsia"/>
                <w:kern w:val="0"/>
                <w:szCs w:val="21"/>
              </w:rPr>
              <w:t>5 下凹式绿地应设置下排水盲管、渗透介质层和防渗膜。</w:t>
            </w:r>
          </w:p>
          <w:p w14:paraId="79B1D288">
            <w:pPr>
              <w:pStyle w:val="35"/>
              <w:tabs>
                <w:tab w:val="left" w:pos="420"/>
              </w:tabs>
              <w:rPr>
                <w:rFonts w:cs="Times New Roman" w:eastAsiaTheme="minorEastAsia"/>
                <w:kern w:val="0"/>
                <w:szCs w:val="21"/>
              </w:rPr>
            </w:pPr>
            <w:r>
              <w:rPr>
                <w:rFonts w:hint="eastAsia" w:cs="Times New Roman" w:eastAsiaTheme="minorEastAsia"/>
                <w:kern w:val="0"/>
                <w:szCs w:val="21"/>
              </w:rPr>
              <w:t>6.4.9 用于排涝除险的下凹式绿地的设计应符合下列规定:</w:t>
            </w:r>
          </w:p>
          <w:p w14:paraId="21B1FFC2">
            <w:pPr>
              <w:pStyle w:val="35"/>
              <w:tabs>
                <w:tab w:val="left" w:pos="420"/>
              </w:tabs>
              <w:ind w:firstLine="420" w:firstLineChars="200"/>
              <w:rPr>
                <w:rFonts w:cs="Times New Roman" w:eastAsiaTheme="minorEastAsia"/>
                <w:kern w:val="0"/>
                <w:szCs w:val="21"/>
              </w:rPr>
            </w:pPr>
            <w:r>
              <w:rPr>
                <w:rFonts w:hint="eastAsia" w:cs="Times New Roman" w:eastAsiaTheme="minorEastAsia"/>
                <w:kern w:val="0"/>
                <w:szCs w:val="21"/>
              </w:rPr>
              <w:t>3 排空时间不应大于绿地中植被的耐淹时间。</w:t>
            </w:r>
          </w:p>
          <w:p w14:paraId="57D30EB6">
            <w:pPr>
              <w:pStyle w:val="35"/>
              <w:tabs>
                <w:tab w:val="left" w:pos="0"/>
              </w:tabs>
              <w:ind w:firstLine="420" w:firstLineChars="200"/>
              <w:rPr>
                <w:rFonts w:cs="Times New Roman" w:eastAsiaTheme="minorEastAsia"/>
                <w:kern w:val="0"/>
                <w:szCs w:val="21"/>
              </w:rPr>
            </w:pPr>
            <w:r>
              <w:rPr>
                <w:rFonts w:hint="eastAsia" w:cs="Times New Roman" w:eastAsiaTheme="minorEastAsia"/>
                <w:kern w:val="0"/>
                <w:szCs w:val="21"/>
              </w:rPr>
              <w:t>4 应在绿地低洼处设置出流口并与下游雨水排水系统相连。</w:t>
            </w:r>
          </w:p>
          <w:p w14:paraId="05AD2AFD">
            <w:pPr>
              <w:tabs>
                <w:tab w:val="left" w:pos="0"/>
              </w:tabs>
              <w:ind w:firstLine="0" w:firstLineChars="0"/>
              <w:rPr>
                <w:rFonts w:cs="Times New Roman"/>
                <w:bCs/>
                <w:kern w:val="0"/>
                <w:szCs w:val="21"/>
              </w:rPr>
            </w:pPr>
            <w:r>
              <w:rPr>
                <w:rFonts w:cs="Times New Roman"/>
                <w:bCs/>
                <w:kern w:val="0"/>
                <w:szCs w:val="21"/>
                <w:lang w:bidi="ar"/>
              </w:rPr>
              <w:t>6.4.10</w:t>
            </w:r>
            <w:r>
              <w:rPr>
                <w:rFonts w:hint="eastAsia" w:cs="Times New Roman"/>
                <w:bCs/>
                <w:kern w:val="0"/>
                <w:szCs w:val="21"/>
                <w:lang w:val="en-US" w:eastAsia="zh-CN" w:bidi="ar"/>
              </w:rPr>
              <w:t xml:space="preserve"> </w:t>
            </w:r>
            <w:r>
              <w:rPr>
                <w:rFonts w:hint="eastAsia" w:cs="宋体"/>
                <w:bCs/>
                <w:kern w:val="0"/>
                <w:szCs w:val="21"/>
                <w:lang w:bidi="ar"/>
              </w:rPr>
              <w:t>生物滞留设施设计应符合下列规定：</w:t>
            </w:r>
          </w:p>
          <w:p w14:paraId="66943164">
            <w:pPr>
              <w:tabs>
                <w:tab w:val="left" w:pos="0"/>
              </w:tabs>
              <w:ind w:firstLine="420" w:firstLineChars="0"/>
              <w:rPr>
                <w:rFonts w:cs="Times New Roman"/>
                <w:kern w:val="0"/>
                <w:szCs w:val="21"/>
              </w:rPr>
            </w:pPr>
            <w:r>
              <w:rPr>
                <w:rFonts w:cs="Times New Roman"/>
                <w:kern w:val="0"/>
                <w:szCs w:val="21"/>
                <w:lang w:bidi="ar"/>
              </w:rPr>
              <w:t xml:space="preserve">5 </w:t>
            </w:r>
            <w:r>
              <w:rPr>
                <w:rFonts w:hint="eastAsia" w:cs="宋体"/>
                <w:kern w:val="0"/>
                <w:szCs w:val="21"/>
                <w:lang w:bidi="ar"/>
              </w:rPr>
              <w:t>生物滞留设施内应设置溢流设施，溢流设施顶部标高应根据设计蓄水层深度和服务范围下垫面标高确定；溢流出水口应设置碎石等消能设施，防止水流冲刷和侵蚀。</w:t>
            </w:r>
          </w:p>
          <w:p w14:paraId="3C218E79">
            <w:pPr>
              <w:pStyle w:val="20"/>
              <w:tabs>
                <w:tab w:val="left" w:pos="0"/>
              </w:tabs>
              <w:ind w:firstLine="420"/>
              <w:rPr>
                <w:rFonts w:cs="Times New Roman"/>
                <w:b/>
                <w:bCs/>
                <w:kern w:val="0"/>
                <w:sz w:val="21"/>
                <w:szCs w:val="21"/>
              </w:rPr>
            </w:pPr>
            <w:r>
              <w:rPr>
                <w:rFonts w:cs="Times New Roman"/>
                <w:kern w:val="0"/>
                <w:sz w:val="21"/>
                <w:szCs w:val="21"/>
                <w:lang w:bidi="ar"/>
              </w:rPr>
              <w:t xml:space="preserve">7 </w:t>
            </w:r>
            <w:r>
              <w:rPr>
                <w:rFonts w:hint="eastAsia" w:cs="宋体"/>
                <w:kern w:val="0"/>
                <w:sz w:val="21"/>
                <w:szCs w:val="21"/>
                <w:lang w:bidi="ar"/>
              </w:rPr>
              <w:t>应根据生物滞留设施内水深设计合理配置植物品种。</w:t>
            </w:r>
          </w:p>
          <w:p w14:paraId="7713BBCF">
            <w:pPr>
              <w:pStyle w:val="20"/>
              <w:tabs>
                <w:tab w:val="left" w:pos="0"/>
              </w:tabs>
              <w:ind w:firstLine="0" w:firstLineChars="0"/>
              <w:rPr>
                <w:rFonts w:cs="宋体"/>
                <w:b/>
                <w:bCs/>
                <w:i/>
                <w:iCs/>
                <w:kern w:val="0"/>
                <w:sz w:val="21"/>
                <w:szCs w:val="21"/>
                <w:lang w:bidi="ar"/>
              </w:rPr>
            </w:pPr>
            <w:r>
              <w:rPr>
                <w:rFonts w:hint="eastAsia" w:cs="宋体"/>
                <w:b/>
                <w:bCs/>
                <w:i/>
                <w:iCs/>
                <w:kern w:val="0"/>
                <w:sz w:val="21"/>
                <w:szCs w:val="21"/>
                <w:lang w:bidi="ar"/>
              </w:rPr>
              <w:t>审查说明：溢流设施的排水能力应满足相应汇水范围在设计暴雨重现期下的径流量排放要求。生物滞留设施存在雨天短暂积水、晴天长期干旱状态，应选择短期耐淹、长期耐旱植物</w:t>
            </w:r>
            <w:r>
              <w:rPr>
                <w:rFonts w:hint="eastAsia" w:cs="宋体"/>
                <w:b/>
                <w:bCs/>
                <w:i/>
                <w:iCs/>
                <w:kern w:val="0"/>
                <w:sz w:val="21"/>
                <w:szCs w:val="21"/>
                <w:lang w:eastAsia="zh-CN" w:bidi="ar"/>
              </w:rPr>
              <w:t>，</w:t>
            </w:r>
            <w:r>
              <w:rPr>
                <w:rFonts w:hint="eastAsia" w:cs="宋体"/>
                <w:b/>
                <w:bCs/>
                <w:i/>
                <w:iCs/>
                <w:kern w:val="0"/>
                <w:sz w:val="21"/>
                <w:szCs w:val="21"/>
                <w:lang w:bidi="ar"/>
              </w:rPr>
              <w:t>适宜生物滞留设施工作环境，提高植物存活率。</w:t>
            </w:r>
          </w:p>
          <w:p w14:paraId="5A45D81E">
            <w:pPr>
              <w:pStyle w:val="20"/>
              <w:tabs>
                <w:tab w:val="left" w:pos="0"/>
              </w:tabs>
              <w:ind w:firstLine="0" w:firstLineChars="0"/>
              <w:rPr>
                <w:rFonts w:cs="Times New Roman"/>
                <w:b/>
                <w:bCs/>
                <w:i/>
                <w:iCs/>
                <w:kern w:val="0"/>
                <w:sz w:val="21"/>
                <w:szCs w:val="21"/>
              </w:rPr>
            </w:pPr>
          </w:p>
          <w:p w14:paraId="35C42A29">
            <w:pPr>
              <w:pStyle w:val="35"/>
              <w:tabs>
                <w:tab w:val="left" w:pos="0"/>
              </w:tabs>
            </w:pPr>
            <w:r>
              <w:rPr>
                <w:rFonts w:hint="eastAsia"/>
              </w:rPr>
              <w:t>6.4.26 植被缓冲带的设计应符合下列规定：</w:t>
            </w:r>
          </w:p>
          <w:p w14:paraId="5136A578">
            <w:pPr>
              <w:pStyle w:val="35"/>
              <w:tabs>
                <w:tab w:val="left" w:pos="0"/>
              </w:tabs>
              <w:ind w:firstLine="420" w:firstLineChars="200"/>
            </w:pPr>
            <w:r>
              <w:rPr>
                <w:rFonts w:hint="eastAsia"/>
              </w:rPr>
              <w:t>2 在海绵城市设施的汇水区入口和坡度较大的植被缓冲带边缘，应采用隔离纺织层、种植固土植被、添加覆盖物等措施固定绿地内土壤。</w:t>
            </w:r>
          </w:p>
          <w:p w14:paraId="092FD7D8">
            <w:pPr>
              <w:pStyle w:val="35"/>
              <w:tabs>
                <w:tab w:val="left" w:pos="0"/>
              </w:tabs>
              <w:ind w:firstLine="0" w:firstLineChars="0"/>
              <w:rPr>
                <w:rFonts w:hint="eastAsia"/>
                <w:b/>
                <w:bCs/>
                <w:i/>
                <w:iCs/>
              </w:rPr>
            </w:pPr>
            <w:r>
              <w:rPr>
                <w:rFonts w:hint="eastAsia"/>
                <w:b/>
                <w:bCs/>
                <w:i/>
                <w:iCs/>
              </w:rPr>
              <w:t>审查说明：在地形高差或坡度较大的地方，应注意防止水土流失。</w:t>
            </w:r>
          </w:p>
        </w:tc>
      </w:tr>
      <w:tr w14:paraId="31F857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87" w:type="pct"/>
            <w:tcBorders>
              <w:tl2br w:val="nil"/>
              <w:tr2bl w:val="nil"/>
            </w:tcBorders>
            <w:vAlign w:val="center"/>
          </w:tcPr>
          <w:p w14:paraId="5DA759FD">
            <w:pPr>
              <w:widowControl/>
              <w:numPr>
                <w:ilvl w:val="0"/>
                <w:numId w:val="7"/>
              </w:numPr>
              <w:ind w:firstLineChars="0"/>
              <w:contextualSpacing/>
              <w:jc w:val="center"/>
              <w:rPr>
                <w:rFonts w:eastAsia="黑体"/>
                <w:bCs/>
                <w:kern w:val="0"/>
                <w:szCs w:val="21"/>
              </w:rPr>
            </w:pPr>
          </w:p>
        </w:tc>
        <w:tc>
          <w:tcPr>
            <w:tcW w:w="648" w:type="pct"/>
            <w:tcBorders>
              <w:tl2br w:val="nil"/>
              <w:tr2bl w:val="nil"/>
            </w:tcBorders>
            <w:shd w:val="clear" w:color="auto" w:fill="auto"/>
            <w:vAlign w:val="center"/>
          </w:tcPr>
          <w:p w14:paraId="7EE0A3DF">
            <w:pPr>
              <w:ind w:firstLine="0" w:firstLineChars="0"/>
              <w:jc w:val="center"/>
              <w:rPr>
                <w:rFonts w:hint="eastAsia" w:ascii="Times New Roman" w:hAnsi="Times New Roman" w:eastAsia="宋体" w:cs="宋体"/>
                <w:kern w:val="2"/>
                <w:sz w:val="21"/>
                <w:szCs w:val="21"/>
                <w:lang w:val="en-US" w:eastAsia="zh-CN" w:bidi="ar-SA"/>
              </w:rPr>
            </w:pPr>
            <w:r>
              <w:rPr>
                <w:rFonts w:hint="eastAsia" w:cs="宋体"/>
                <w:szCs w:val="21"/>
                <w:lang w:bidi="ar"/>
              </w:rPr>
              <w:t>雨水调蓄池、调蓄模块</w:t>
            </w:r>
          </w:p>
        </w:tc>
        <w:tc>
          <w:tcPr>
            <w:tcW w:w="3964" w:type="pct"/>
            <w:tcBorders>
              <w:tl2br w:val="nil"/>
              <w:tr2bl w:val="nil"/>
            </w:tcBorders>
            <w:shd w:val="clear" w:color="auto" w:fill="auto"/>
            <w:vAlign w:val="center"/>
          </w:tcPr>
          <w:p w14:paraId="5BB6F4BF">
            <w:pPr>
              <w:tabs>
                <w:tab w:val="left" w:pos="0"/>
              </w:tabs>
              <w:ind w:firstLine="0" w:firstLineChars="0"/>
              <w:rPr>
                <w:rFonts w:cs="Times New Roman" w:eastAsiaTheme="minorEastAsia"/>
                <w:b/>
                <w:bCs/>
                <w:szCs w:val="21"/>
                <w:shd w:val="clear" w:color="auto" w:fill="FFFFFF"/>
              </w:rPr>
            </w:pPr>
            <w:r>
              <w:rPr>
                <w:rFonts w:hint="eastAsia" w:cs="Times New Roman" w:eastAsiaTheme="minorEastAsia"/>
                <w:b/>
                <w:bCs/>
                <w:szCs w:val="21"/>
                <w:shd w:val="clear" w:color="auto" w:fill="FFFFFF"/>
              </w:rPr>
              <w:t>《建筑与小区雨水控制及利用工程技术规范》GB 50400-2016</w:t>
            </w:r>
          </w:p>
          <w:p w14:paraId="23040A38">
            <w:pPr>
              <w:tabs>
                <w:tab w:val="left" w:pos="0"/>
              </w:tabs>
              <w:ind w:firstLine="0" w:firstLineChars="0"/>
              <w:rPr>
                <w:rFonts w:cs="Times New Roman" w:eastAsiaTheme="minorEastAsia"/>
                <w:szCs w:val="21"/>
                <w:shd w:val="clear" w:color="auto" w:fill="FFFFFF"/>
              </w:rPr>
            </w:pPr>
            <w:r>
              <w:rPr>
                <w:rFonts w:cs="Times New Roman" w:eastAsiaTheme="minorEastAsia"/>
                <w:szCs w:val="21"/>
                <w:shd w:val="clear" w:color="auto" w:fill="FFFFFF"/>
              </w:rPr>
              <w:t xml:space="preserve">7.1.6 </w:t>
            </w:r>
            <w:r>
              <w:rPr>
                <w:rFonts w:hint="eastAsia" w:cs="Times New Roman" w:eastAsiaTheme="minorEastAsia"/>
                <w:szCs w:val="21"/>
                <w:shd w:val="clear" w:color="auto" w:fill="FFFFFF"/>
              </w:rPr>
              <w:t>蓄水池、清水池应设溢流管和通气管，并应设防虫措施。</w:t>
            </w:r>
          </w:p>
          <w:p w14:paraId="161CA639">
            <w:pPr>
              <w:pStyle w:val="35"/>
              <w:rPr>
                <w:rFonts w:cs="宋体"/>
                <w:b/>
                <w:bCs/>
                <w:szCs w:val="21"/>
                <w:lang w:bidi="ar"/>
              </w:rPr>
            </w:pPr>
            <w:r>
              <w:t xml:space="preserve">7.2.2 </w:t>
            </w:r>
            <w:r>
              <w:rPr>
                <w:rFonts w:hint="eastAsia"/>
              </w:rPr>
              <w:t>蓄水池应设检查口或人孔，附近宜设给水栓和排水泵电源。室外地下蓄水池（罐）的人孔、检查口应设置防止人员落入水中的双层井盖或带有防坠网的井盖。</w:t>
            </w:r>
          </w:p>
          <w:p w14:paraId="3B63F5A6">
            <w:pPr>
              <w:ind w:firstLine="0" w:firstLineChars="0"/>
              <w:rPr>
                <w:szCs w:val="21"/>
              </w:rPr>
            </w:pPr>
            <w:r>
              <w:rPr>
                <w:szCs w:val="21"/>
              </w:rPr>
              <w:t>7.2.7</w:t>
            </w:r>
            <w:r>
              <w:rPr>
                <w:rFonts w:hint="eastAsia"/>
                <w:szCs w:val="21"/>
                <w:lang w:val="en-US" w:eastAsia="zh-CN"/>
              </w:rPr>
              <w:t xml:space="preserve"> </w:t>
            </w:r>
            <w:r>
              <w:rPr>
                <w:rFonts w:hint="eastAsia"/>
                <w:szCs w:val="21"/>
              </w:rPr>
              <w:t>钢筋混凝土蓄水池应符合下列规定</w:t>
            </w:r>
            <w:r>
              <w:rPr>
                <w:szCs w:val="21"/>
              </w:rPr>
              <w:t>:</w:t>
            </w:r>
          </w:p>
          <w:p w14:paraId="796D0175">
            <w:pPr>
              <w:ind w:firstLine="420"/>
              <w:rPr>
                <w:szCs w:val="21"/>
              </w:rPr>
            </w:pPr>
            <w:r>
              <w:rPr>
                <w:szCs w:val="21"/>
              </w:rPr>
              <w:t>1</w:t>
            </w:r>
            <w:r>
              <w:rPr>
                <w:rFonts w:hint="eastAsia"/>
                <w:szCs w:val="21"/>
                <w:lang w:val="en-US" w:eastAsia="zh-CN"/>
              </w:rPr>
              <w:t xml:space="preserve"> </w:t>
            </w:r>
            <w:r>
              <w:rPr>
                <w:rFonts w:hint="eastAsia"/>
                <w:szCs w:val="21"/>
              </w:rPr>
              <w:t>池底应设集泥坑和吸水坑；</w:t>
            </w:r>
          </w:p>
          <w:p w14:paraId="14DC2207">
            <w:pPr>
              <w:ind w:firstLine="420"/>
              <w:rPr>
                <w:szCs w:val="21"/>
              </w:rPr>
            </w:pPr>
            <w:r>
              <w:rPr>
                <w:szCs w:val="21"/>
              </w:rPr>
              <w:t xml:space="preserve">2 </w:t>
            </w:r>
            <w:r>
              <w:rPr>
                <w:rFonts w:hint="eastAsia"/>
                <w:szCs w:val="21"/>
              </w:rPr>
              <w:t>池底应设不小于</w:t>
            </w:r>
            <w:r>
              <w:rPr>
                <w:szCs w:val="21"/>
              </w:rPr>
              <w:t>5%</w:t>
            </w:r>
            <w:r>
              <w:rPr>
                <w:rFonts w:hint="eastAsia"/>
                <w:szCs w:val="21"/>
              </w:rPr>
              <w:t>的坡度坡向集泥坑；</w:t>
            </w:r>
          </w:p>
          <w:p w14:paraId="42F6A740">
            <w:pPr>
              <w:ind w:firstLine="420"/>
              <w:rPr>
                <w:szCs w:val="21"/>
              </w:rPr>
            </w:pPr>
            <w:r>
              <w:rPr>
                <w:szCs w:val="21"/>
              </w:rPr>
              <w:t xml:space="preserve">3 </w:t>
            </w:r>
            <w:r>
              <w:rPr>
                <w:rFonts w:hint="eastAsia"/>
                <w:szCs w:val="21"/>
              </w:rPr>
              <w:t>池底应设排泥设施；当不具备设置排泥设施或排泥确有困难时，应设置冲洗设施，冲洗水源宜采用池水，并应与自动控制系统联动。</w:t>
            </w:r>
          </w:p>
          <w:p w14:paraId="38FA188C">
            <w:pPr>
              <w:ind w:firstLine="0" w:firstLineChars="0"/>
              <w:rPr>
                <w:szCs w:val="21"/>
              </w:rPr>
            </w:pPr>
            <w:r>
              <w:rPr>
                <w:szCs w:val="21"/>
              </w:rPr>
              <w:t xml:space="preserve">7.2.8 </w:t>
            </w:r>
            <w:r>
              <w:rPr>
                <w:rFonts w:hint="eastAsia"/>
                <w:szCs w:val="21"/>
              </w:rPr>
              <w:t>塑料模块和硅砂砌块组合蓄水池应符合下列规定：</w:t>
            </w:r>
          </w:p>
          <w:p w14:paraId="4DC8DACE">
            <w:pPr>
              <w:ind w:firstLine="420"/>
              <w:rPr>
                <w:szCs w:val="21"/>
              </w:rPr>
            </w:pPr>
            <w:r>
              <w:rPr>
                <w:szCs w:val="21"/>
              </w:rPr>
              <w:t>2</w:t>
            </w:r>
            <w:r>
              <w:rPr>
                <w:rFonts w:hint="eastAsia"/>
                <w:szCs w:val="21"/>
              </w:rPr>
              <w:t>外层应采用不透水土工膜或性能相同的材料包覆；</w:t>
            </w:r>
          </w:p>
          <w:p w14:paraId="226DC4CC">
            <w:pPr>
              <w:ind w:firstLine="420"/>
              <w:rPr>
                <w:szCs w:val="21"/>
              </w:rPr>
            </w:pPr>
            <w:r>
              <w:rPr>
                <w:szCs w:val="21"/>
              </w:rPr>
              <w:t xml:space="preserve">3 </w:t>
            </w:r>
            <w:r>
              <w:rPr>
                <w:rFonts w:hint="eastAsia"/>
                <w:szCs w:val="21"/>
              </w:rPr>
              <w:t>池内构造应便于清除沉积泥沙；</w:t>
            </w:r>
          </w:p>
          <w:p w14:paraId="03A41055">
            <w:pPr>
              <w:ind w:firstLine="420"/>
              <w:rPr>
                <w:szCs w:val="21"/>
              </w:rPr>
            </w:pPr>
            <w:r>
              <w:rPr>
                <w:szCs w:val="21"/>
              </w:rPr>
              <w:t xml:space="preserve">4 </w:t>
            </w:r>
            <w:r>
              <w:rPr>
                <w:rFonts w:hint="eastAsia"/>
                <w:szCs w:val="21"/>
              </w:rPr>
              <w:t>兼具过滤功能时应能进行过滤沉积物的清除；</w:t>
            </w:r>
          </w:p>
          <w:p w14:paraId="260596E4">
            <w:pPr>
              <w:pStyle w:val="20"/>
              <w:tabs>
                <w:tab w:val="left" w:pos="420"/>
              </w:tabs>
              <w:ind w:firstLine="0" w:firstLineChars="0"/>
              <w:rPr>
                <w:rFonts w:cs="宋体"/>
                <w:b/>
                <w:bCs/>
                <w:sz w:val="21"/>
                <w:szCs w:val="21"/>
                <w:lang w:bidi="ar"/>
              </w:rPr>
            </w:pPr>
          </w:p>
          <w:p w14:paraId="192D4221">
            <w:pPr>
              <w:pStyle w:val="20"/>
              <w:tabs>
                <w:tab w:val="left" w:pos="420"/>
              </w:tabs>
              <w:ind w:firstLine="0" w:firstLineChars="0"/>
              <w:rPr>
                <w:rFonts w:cs="Times New Roman"/>
                <w:b/>
                <w:bCs/>
                <w:sz w:val="21"/>
                <w:szCs w:val="21"/>
              </w:rPr>
            </w:pPr>
            <w:r>
              <w:rPr>
                <w:rFonts w:hint="eastAsia" w:cs="宋体"/>
                <w:b/>
                <w:bCs/>
                <w:sz w:val="21"/>
                <w:szCs w:val="21"/>
                <w:lang w:bidi="ar"/>
              </w:rPr>
              <w:t>《海绵城市规划与设计标准》DG/TJ 08-2298-2026</w:t>
            </w:r>
          </w:p>
          <w:p w14:paraId="6AA8F99B">
            <w:pPr>
              <w:pStyle w:val="20"/>
              <w:tabs>
                <w:tab w:val="left" w:pos="0"/>
              </w:tabs>
              <w:ind w:firstLine="0" w:firstLineChars="0"/>
              <w:rPr>
                <w:rFonts w:cs="Times New Roman"/>
                <w:sz w:val="21"/>
                <w:szCs w:val="21"/>
              </w:rPr>
            </w:pPr>
            <w:r>
              <w:rPr>
                <w:rFonts w:cs="Times New Roman"/>
                <w:sz w:val="21"/>
                <w:szCs w:val="21"/>
                <w:lang w:bidi="ar"/>
              </w:rPr>
              <w:t xml:space="preserve">6.4.18 </w:t>
            </w:r>
            <w:r>
              <w:rPr>
                <w:rFonts w:hint="eastAsia" w:cs="宋体"/>
                <w:sz w:val="21"/>
                <w:szCs w:val="21"/>
                <w:lang w:bidi="ar"/>
              </w:rPr>
              <w:t>浅层调蓄设施的设计应符合下列规定：</w:t>
            </w:r>
          </w:p>
          <w:p w14:paraId="3496F8E7">
            <w:pPr>
              <w:pStyle w:val="20"/>
              <w:tabs>
                <w:tab w:val="left" w:pos="0"/>
              </w:tabs>
              <w:ind w:firstLine="420"/>
              <w:rPr>
                <w:rFonts w:cs="Times New Roman"/>
                <w:sz w:val="21"/>
                <w:szCs w:val="21"/>
              </w:rPr>
            </w:pPr>
            <w:r>
              <w:rPr>
                <w:rFonts w:cs="Times New Roman"/>
                <w:sz w:val="21"/>
                <w:szCs w:val="21"/>
                <w:lang w:bidi="ar"/>
              </w:rPr>
              <w:t xml:space="preserve">4 </w:t>
            </w:r>
            <w:r>
              <w:rPr>
                <w:rFonts w:hint="eastAsia" w:cs="宋体"/>
                <w:sz w:val="21"/>
                <w:szCs w:val="21"/>
                <w:lang w:bidi="ar"/>
              </w:rPr>
              <w:t>应设置出水管、进水井、排泥井、溢流口等设施，放空时间不宜大于</w:t>
            </w:r>
            <w:r>
              <w:rPr>
                <w:rFonts w:cs="Times New Roman"/>
                <w:sz w:val="21"/>
                <w:szCs w:val="21"/>
                <w:lang w:bidi="ar"/>
              </w:rPr>
              <w:t>24h</w:t>
            </w:r>
            <w:r>
              <w:rPr>
                <w:rFonts w:hint="eastAsia" w:cs="宋体"/>
                <w:sz w:val="21"/>
                <w:szCs w:val="21"/>
                <w:lang w:bidi="ar"/>
              </w:rPr>
              <w:t>。</w:t>
            </w:r>
          </w:p>
          <w:p w14:paraId="5DE4B015">
            <w:pPr>
              <w:pStyle w:val="20"/>
              <w:tabs>
                <w:tab w:val="left" w:pos="0"/>
              </w:tabs>
              <w:ind w:firstLine="420"/>
              <w:rPr>
                <w:rFonts w:cs="宋体"/>
                <w:sz w:val="21"/>
                <w:szCs w:val="21"/>
                <w:lang w:bidi="ar"/>
              </w:rPr>
            </w:pPr>
            <w:r>
              <w:rPr>
                <w:rFonts w:cs="Times New Roman"/>
                <w:sz w:val="21"/>
                <w:szCs w:val="21"/>
                <w:lang w:bidi="ar"/>
              </w:rPr>
              <w:t xml:space="preserve">5 </w:t>
            </w:r>
            <w:r>
              <w:rPr>
                <w:rFonts w:hint="eastAsia" w:cs="宋体"/>
                <w:sz w:val="21"/>
                <w:szCs w:val="21"/>
                <w:lang w:bidi="ar"/>
              </w:rPr>
              <w:t>应具有排泥的功能。</w:t>
            </w:r>
          </w:p>
          <w:p w14:paraId="68C1E736">
            <w:pPr>
              <w:ind w:firstLine="0" w:firstLineChars="0"/>
              <w:rPr>
                <w:rFonts w:hint="eastAsia" w:ascii="Times New Roman" w:hAnsi="Times New Roman" w:eastAsia="宋体" w:cstheme="minorBidi"/>
                <w:b/>
                <w:bCs/>
                <w:i/>
                <w:iCs/>
                <w:kern w:val="2"/>
                <w:sz w:val="21"/>
                <w:szCs w:val="24"/>
                <w:lang w:val="en-US" w:eastAsia="zh-CN" w:bidi="ar-SA"/>
              </w:rPr>
            </w:pPr>
            <w:r>
              <w:rPr>
                <w:rFonts w:hint="eastAsia"/>
                <w:b/>
                <w:bCs/>
                <w:i/>
                <w:iCs/>
              </w:rPr>
              <w:t>审查说明：各类雨水调蓄池应考虑排泥措施，可采用重力排泥、水力自动冲洗排泥、排泥泵排泥等措施，避免因淤泥淤积导致调蓄容积逐年减小。</w:t>
            </w:r>
          </w:p>
        </w:tc>
      </w:tr>
    </w:tbl>
    <w:p w14:paraId="07C321CC"/>
    <w:p w14:paraId="44598295"/>
    <w:p w14:paraId="706667B6"/>
    <w:p w14:paraId="2B8DA6EF"/>
    <w:p w14:paraId="5690F807"/>
    <w:p w14:paraId="6421D070"/>
    <w:p w14:paraId="3EC043CA"/>
    <w:p w14:paraId="529B7E88">
      <w:pPr>
        <w:ind w:firstLine="0" w:firstLineChars="0"/>
      </w:pPr>
      <w:r>
        <w:br w:type="page"/>
      </w:r>
    </w:p>
    <w:p w14:paraId="3252090A">
      <w:pPr>
        <w:pStyle w:val="2"/>
        <w:numPr>
          <w:ilvl w:val="255"/>
          <w:numId w:val="0"/>
        </w:numPr>
        <w:spacing w:before="156" w:after="156"/>
        <w:ind w:right="420" w:rightChars="200"/>
        <w:jc w:val="left"/>
        <w:rPr>
          <w:sz w:val="24"/>
        </w:rPr>
      </w:pPr>
      <w:bookmarkStart w:id="97" w:name="_Toc11575"/>
      <w:r>
        <w:rPr>
          <w:rFonts w:hint="eastAsia"/>
          <w:sz w:val="24"/>
        </w:rPr>
        <w:t>附件：上海市海绵城市建设相关政策和管理文件清单</w:t>
      </w:r>
      <w:bookmarkEnd w:id="97"/>
    </w:p>
    <w:p w14:paraId="1031921D">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1、</w:t>
      </w:r>
      <w:r>
        <w:rPr>
          <w:rFonts w:hint="eastAsia"/>
          <w:sz w:val="24"/>
        </w:rPr>
        <w:t>上海市人民政府办公厅关于印发《本市系统化全域推进海绵城市建设的实施意见》的通知（沪府办发〔2024〕3号）；</w:t>
      </w:r>
    </w:p>
    <w:p w14:paraId="58BF0EF7">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2、</w:t>
      </w:r>
      <w:r>
        <w:rPr>
          <w:rFonts w:hint="eastAsia"/>
          <w:sz w:val="24"/>
        </w:rPr>
        <w:t>上海市海绵城市规划建设管理办法（沪住建规范联〔2023〕11号）；</w:t>
      </w:r>
    </w:p>
    <w:p w14:paraId="34AE0EEB">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3、</w:t>
      </w:r>
      <w:r>
        <w:rPr>
          <w:sz w:val="24"/>
        </w:rPr>
        <w:t>关于进一步加强本市建设工程海绵城市施工图设计审查和竣工验收管理的有关通知</w:t>
      </w:r>
      <w:r>
        <w:rPr>
          <w:rFonts w:hint="eastAsia"/>
          <w:sz w:val="24"/>
        </w:rPr>
        <w:t>（</w:t>
      </w:r>
      <w:r>
        <w:rPr>
          <w:sz w:val="24"/>
        </w:rPr>
        <w:t>沪建</w:t>
      </w:r>
      <w:r>
        <w:rPr>
          <w:rFonts w:hint="eastAsia"/>
          <w:sz w:val="24"/>
        </w:rPr>
        <w:t>综规</w:t>
      </w:r>
      <w:r>
        <w:rPr>
          <w:sz w:val="24"/>
        </w:rPr>
        <w:t>〔202</w:t>
      </w:r>
      <w:r>
        <w:rPr>
          <w:rFonts w:hint="eastAsia"/>
          <w:sz w:val="24"/>
        </w:rPr>
        <w:t>3</w:t>
      </w:r>
      <w:r>
        <w:rPr>
          <w:sz w:val="24"/>
        </w:rPr>
        <w:t>〕3</w:t>
      </w:r>
      <w:r>
        <w:rPr>
          <w:rFonts w:hint="eastAsia"/>
          <w:sz w:val="24"/>
        </w:rPr>
        <w:t>74</w:t>
      </w:r>
      <w:r>
        <w:rPr>
          <w:sz w:val="24"/>
        </w:rPr>
        <w:t>号</w:t>
      </w:r>
      <w:r>
        <w:rPr>
          <w:rFonts w:hint="eastAsia"/>
          <w:sz w:val="24"/>
        </w:rPr>
        <w:t>）；</w:t>
      </w:r>
    </w:p>
    <w:p w14:paraId="147F2A83">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4、</w:t>
      </w:r>
      <w:r>
        <w:rPr>
          <w:sz w:val="24"/>
        </w:rPr>
        <w:t>关于进一步加强本市海绵城市设施分部工程、分项工程和检验批划分和验收记录的有关通知</w:t>
      </w:r>
      <w:r>
        <w:rPr>
          <w:rFonts w:hint="eastAsia"/>
          <w:sz w:val="24"/>
        </w:rPr>
        <w:t>（</w:t>
      </w:r>
      <w:r>
        <w:rPr>
          <w:sz w:val="24"/>
        </w:rPr>
        <w:t>沪建安质监〔2024〕36号</w:t>
      </w:r>
      <w:r>
        <w:rPr>
          <w:rFonts w:hint="eastAsia"/>
          <w:sz w:val="24"/>
        </w:rPr>
        <w:t>）；</w:t>
      </w:r>
    </w:p>
    <w:p w14:paraId="6D8E8E99">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5、</w:t>
      </w:r>
      <w:r>
        <w:rPr>
          <w:sz w:val="24"/>
        </w:rPr>
        <w:t>关于印发《上海市建设项目设计文件海绵专篇（章）编制深度（试行）》的通知</w:t>
      </w:r>
      <w:r>
        <w:rPr>
          <w:rFonts w:hint="eastAsia"/>
          <w:sz w:val="24"/>
        </w:rPr>
        <w:t>（</w:t>
      </w:r>
      <w:r>
        <w:rPr>
          <w:sz w:val="24"/>
        </w:rPr>
        <w:t>沪建</w:t>
      </w:r>
      <w:r>
        <w:rPr>
          <w:rFonts w:hint="eastAsia"/>
          <w:sz w:val="24"/>
        </w:rPr>
        <w:t>综规</w:t>
      </w:r>
      <w:r>
        <w:rPr>
          <w:sz w:val="24"/>
        </w:rPr>
        <w:t>〔20</w:t>
      </w:r>
      <w:r>
        <w:rPr>
          <w:rFonts w:hint="eastAsia"/>
          <w:sz w:val="24"/>
        </w:rPr>
        <w:t>19</w:t>
      </w:r>
      <w:r>
        <w:rPr>
          <w:sz w:val="24"/>
        </w:rPr>
        <w:t>〕</w:t>
      </w:r>
      <w:r>
        <w:rPr>
          <w:rFonts w:hint="eastAsia"/>
          <w:sz w:val="24"/>
        </w:rPr>
        <w:t>426</w:t>
      </w:r>
      <w:r>
        <w:rPr>
          <w:sz w:val="24"/>
        </w:rPr>
        <w:t>号</w:t>
      </w:r>
      <w:r>
        <w:rPr>
          <w:rFonts w:hint="eastAsia"/>
          <w:sz w:val="24"/>
        </w:rPr>
        <w:t>）；</w:t>
      </w:r>
    </w:p>
    <w:p w14:paraId="11016777">
      <w:pPr>
        <w:numPr>
          <w:ilvl w:val="0"/>
          <w:numId w:val="0"/>
        </w:numPr>
        <w:spacing w:line="480" w:lineRule="auto"/>
        <w:ind w:firstLine="0" w:firstLineChars="0"/>
        <w:rPr>
          <w:sz w:val="24"/>
        </w:rPr>
      </w:pPr>
      <w:r>
        <w:rPr>
          <w:rFonts w:ascii="Times New Roman" w:hAnsi="Times New Roman" w:eastAsia="宋体" w:cstheme="minorBidi"/>
          <w:kern w:val="2"/>
          <w:sz w:val="24"/>
          <w:szCs w:val="24"/>
          <w:lang w:val="en-US" w:eastAsia="zh-CN" w:bidi="ar-SA"/>
        </w:rPr>
        <w:t>6、</w:t>
      </w:r>
      <w:r>
        <w:rPr>
          <w:rFonts w:hint="eastAsia"/>
          <w:sz w:val="24"/>
        </w:rPr>
        <w:t>上海市建设工程海绵城市设计方案技术审查要点（2025年9月12日发布）。</w:t>
      </w:r>
    </w:p>
    <w:sectPr>
      <w:footerReference r:id="rId12" w:type="default"/>
      <w:pgSz w:w="11906" w:h="16838"/>
      <w:pgMar w:top="1417" w:right="1701" w:bottom="1417" w:left="1701" w:header="851" w:footer="992" w:gutter="0"/>
      <w:pgNumType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altName w:val="Arial"/>
    <w:panose1 w:val="020F0302020204030204"/>
    <w:charset w:val="00"/>
    <w:family w:val="swiss"/>
    <w:pitch w:val="default"/>
    <w:sig w:usb0="00000000" w:usb1="00000000" w:usb2="00000009" w:usb3="00000000" w:csb0="200001F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方正楷体_GB2312">
    <w:altName w:val="楷体_GB2312"/>
    <w:panose1 w:val="00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Math">
    <w:altName w:val="Kingsoft Math"/>
    <w:panose1 w:val="02040503050406030204"/>
    <w:charset w:val="00"/>
    <w:family w:val="roman"/>
    <w:pitch w:val="default"/>
    <w:sig w:usb0="00000000" w:usb1="00000000" w:usb2="02000000" w:usb3="00000000" w:csb0="2000019F" w:csb1="00000000"/>
  </w:font>
  <w:font w:name="Kingsoft Math">
    <w:panose1 w:val="02040503050406030204"/>
    <w:charset w:val="00"/>
    <w:family w:val="auto"/>
    <w:pitch w:val="default"/>
    <w:sig w:usb0="00000081" w:usb1="02000068" w:usb2="02000000" w:usb3="00000000" w:csb0="00000001" w:csb1="00000000"/>
  </w:font>
  <w:font w:name="DejaVu Serif">
    <w:panose1 w:val="02060603050605020204"/>
    <w:charset w:val="00"/>
    <w:family w:val="auto"/>
    <w:pitch w:val="default"/>
    <w:sig w:usb0="E50006FF" w:usb1="5200F9FB" w:usb2="0A04002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9C58">
    <w:pPr>
      <w:pStyle w:val="13"/>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8988E">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CFA1E">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5A16A">
    <w:pPr>
      <w:pStyle w:val="13"/>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6834392"/>
    </w:sdtPr>
    <w:sdtContent>
      <w:p w14:paraId="0050A113">
        <w:pPr>
          <w:pStyle w:val="13"/>
          <w:ind w:firstLine="360"/>
          <w:jc w:val="center"/>
        </w:pPr>
        <w:r>
          <w:fldChar w:fldCharType="begin"/>
        </w:r>
        <w:r>
          <w:instrText xml:space="preserve">PAGE   \* MERGEFORMAT</w:instrText>
        </w:r>
        <w:r>
          <w:fldChar w:fldCharType="separate"/>
        </w:r>
        <w:r>
          <w:rPr>
            <w:lang w:val="zh-CN"/>
          </w:rPr>
          <w:t>26</w:t>
        </w:r>
        <w:r>
          <w:fldChar w:fldCharType="end"/>
        </w:r>
      </w:p>
    </w:sdtContent>
  </w:sdt>
  <w:p w14:paraId="304015E4">
    <w:pPr>
      <w:pStyle w:val="13"/>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6E5E">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0821D">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7071">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58036"/>
    <w:multiLevelType w:val="multilevel"/>
    <w:tmpl w:val="9AE58036"/>
    <w:lvl w:ilvl="0" w:tentative="0">
      <w:start w:val="1"/>
      <w:numFmt w:val="decimal"/>
      <w:suff w:val="nothing"/>
      <w:lvlText w:val="%1"/>
      <w:lvlJc w:val="left"/>
      <w:pPr>
        <w:tabs>
          <w:tab w:val="left" w:pos="0"/>
        </w:tabs>
        <w:ind w:left="0"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1425708C"/>
    <w:multiLevelType w:val="multilevel"/>
    <w:tmpl w:val="1425708C"/>
    <w:lvl w:ilvl="0" w:tentative="0">
      <w:start w:val="1"/>
      <w:numFmt w:val="decimal"/>
      <w:suff w:val="nothing"/>
      <w:lvlText w:val="%1"/>
      <w:lvlJc w:val="left"/>
      <w:pPr>
        <w:tabs>
          <w:tab w:val="left" w:pos="0"/>
        </w:tabs>
        <w:ind w:left="0"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25078E49"/>
    <w:multiLevelType w:val="multilevel"/>
    <w:tmpl w:val="25078E49"/>
    <w:lvl w:ilvl="0" w:tentative="0">
      <w:start w:val="1"/>
      <w:numFmt w:val="chineseCountingThousand"/>
      <w:pStyle w:val="2"/>
      <w:suff w:val="space"/>
      <w:lvlText w:val="%1"/>
      <w:lvlJc w:val="left"/>
      <w:pPr>
        <w:ind w:left="0" w:firstLine="0"/>
      </w:pPr>
      <w:rPr>
        <w:rFonts w:hint="default" w:ascii="Times New Roman" w:hAnsi="Times New Roman" w:eastAsia="宋体"/>
        <w:b/>
        <w:bCs w:val="0"/>
        <w:i w:val="0"/>
        <w:sz w:val="24"/>
        <w:szCs w:val="28"/>
      </w:rPr>
    </w:lvl>
    <w:lvl w:ilvl="1" w:tentative="0">
      <w:start w:val="1"/>
      <w:numFmt w:val="decimal"/>
      <w:pStyle w:val="3"/>
      <w:isLgl/>
      <w:suff w:val="space"/>
      <w:lvlText w:val="%1.%2"/>
      <w:lvlJc w:val="left"/>
      <w:pPr>
        <w:ind w:left="0" w:firstLine="0"/>
      </w:pPr>
      <w:rPr>
        <w:rFonts w:hint="default" w:ascii="Times New Roman" w:hAnsi="Times New Roman" w:eastAsia="宋体"/>
        <w:b w:val="0"/>
        <w:i w:val="0"/>
        <w:sz w:val="24"/>
        <w:szCs w:val="24"/>
      </w:rPr>
    </w:lvl>
    <w:lvl w:ilvl="2" w:tentative="0">
      <w:start w:val="1"/>
      <w:numFmt w:val="decimal"/>
      <w:pStyle w:val="4"/>
      <w:isLgl/>
      <w:suff w:val="space"/>
      <w:lvlText w:val="%1.%2.%3"/>
      <w:lvlJc w:val="left"/>
      <w:pPr>
        <w:ind w:left="0" w:firstLine="0"/>
      </w:pPr>
      <w:rPr>
        <w:rFonts w:hint="default" w:ascii="Times New Roman" w:hAnsi="Times New Roman" w:eastAsia="宋体"/>
        <w:b/>
        <w:i w:val="0"/>
        <w:sz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35A66229"/>
    <w:multiLevelType w:val="multilevel"/>
    <w:tmpl w:val="35A66229"/>
    <w:lvl w:ilvl="0" w:tentative="0">
      <w:start w:val="1"/>
      <w:numFmt w:val="decimal"/>
      <w:suff w:val="nothing"/>
      <w:lvlText w:val="%1"/>
      <w:lvlJc w:val="left"/>
      <w:pPr>
        <w:tabs>
          <w:tab w:val="left" w:pos="0"/>
        </w:tabs>
        <w:ind w:left="0"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60C0D6F6"/>
    <w:multiLevelType w:val="multilevel"/>
    <w:tmpl w:val="60C0D6F6"/>
    <w:lvl w:ilvl="0" w:tentative="0">
      <w:start w:val="1"/>
      <w:numFmt w:val="decimal"/>
      <w:suff w:val="nothing"/>
      <w:lvlText w:val="%1"/>
      <w:lvlJc w:val="left"/>
      <w:pPr>
        <w:tabs>
          <w:tab w:val="left" w:pos="0"/>
        </w:tabs>
        <w:ind w:left="0"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666C23EA"/>
    <w:multiLevelType w:val="multilevel"/>
    <w:tmpl w:val="666C23EA"/>
    <w:lvl w:ilvl="0" w:tentative="0">
      <w:start w:val="1"/>
      <w:numFmt w:val="decimal"/>
      <w:suff w:val="nothing"/>
      <w:lvlText w:val="%1"/>
      <w:lvlJc w:val="left"/>
      <w:pPr>
        <w:tabs>
          <w:tab w:val="left" w:pos="567"/>
        </w:tabs>
        <w:ind w:left="567"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774FD413"/>
    <w:multiLevelType w:val="multilevel"/>
    <w:tmpl w:val="774FD413"/>
    <w:lvl w:ilvl="0" w:tentative="0">
      <w:start w:val="1"/>
      <w:numFmt w:val="decimal"/>
      <w:suff w:val="nothing"/>
      <w:lvlText w:val="%1"/>
      <w:lvlJc w:val="left"/>
      <w:pPr>
        <w:tabs>
          <w:tab w:val="left" w:pos="0"/>
        </w:tabs>
        <w:ind w:left="0" w:firstLine="0"/>
      </w:pPr>
      <w:rPr>
        <w:rFonts w:hint="default"/>
        <w:b w:val="0"/>
        <w:bCs w:val="0"/>
        <w:sz w:val="21"/>
        <w:szCs w:val="21"/>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68"/>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yZDdhMjY2YmMwYWE4Yzc2MDM1MWE5MDcxZTEyMWQifQ=="/>
  </w:docVars>
  <w:rsids>
    <w:rsidRoot w:val="570672F1"/>
    <w:rsid w:val="00005CE5"/>
    <w:rsid w:val="00005E73"/>
    <w:rsid w:val="0000625F"/>
    <w:rsid w:val="00010FDA"/>
    <w:rsid w:val="000154DD"/>
    <w:rsid w:val="00015DC3"/>
    <w:rsid w:val="000167E3"/>
    <w:rsid w:val="000212AA"/>
    <w:rsid w:val="00022D16"/>
    <w:rsid w:val="00025D15"/>
    <w:rsid w:val="00030438"/>
    <w:rsid w:val="00032C0C"/>
    <w:rsid w:val="000349A6"/>
    <w:rsid w:val="00034C40"/>
    <w:rsid w:val="00035C7A"/>
    <w:rsid w:val="00036C1D"/>
    <w:rsid w:val="00037331"/>
    <w:rsid w:val="000417B7"/>
    <w:rsid w:val="00042560"/>
    <w:rsid w:val="00046794"/>
    <w:rsid w:val="000469D0"/>
    <w:rsid w:val="00046E9D"/>
    <w:rsid w:val="00047F1F"/>
    <w:rsid w:val="00051519"/>
    <w:rsid w:val="00051CA3"/>
    <w:rsid w:val="00051F84"/>
    <w:rsid w:val="00052C3D"/>
    <w:rsid w:val="00052C53"/>
    <w:rsid w:val="000530A1"/>
    <w:rsid w:val="0005507F"/>
    <w:rsid w:val="00055796"/>
    <w:rsid w:val="00056602"/>
    <w:rsid w:val="00067E36"/>
    <w:rsid w:val="000701F3"/>
    <w:rsid w:val="0007134F"/>
    <w:rsid w:val="00074667"/>
    <w:rsid w:val="00074E7A"/>
    <w:rsid w:val="0007548F"/>
    <w:rsid w:val="00075B7B"/>
    <w:rsid w:val="000766F1"/>
    <w:rsid w:val="00076E48"/>
    <w:rsid w:val="00080E62"/>
    <w:rsid w:val="00080FD7"/>
    <w:rsid w:val="000835B2"/>
    <w:rsid w:val="00084EFC"/>
    <w:rsid w:val="000856F5"/>
    <w:rsid w:val="00087F9A"/>
    <w:rsid w:val="000904BD"/>
    <w:rsid w:val="00090B35"/>
    <w:rsid w:val="0009418B"/>
    <w:rsid w:val="00096398"/>
    <w:rsid w:val="00096D25"/>
    <w:rsid w:val="00097EEA"/>
    <w:rsid w:val="000A05C9"/>
    <w:rsid w:val="000A1B96"/>
    <w:rsid w:val="000A2A39"/>
    <w:rsid w:val="000B1076"/>
    <w:rsid w:val="000B2106"/>
    <w:rsid w:val="000B32B1"/>
    <w:rsid w:val="000B565D"/>
    <w:rsid w:val="000B66D1"/>
    <w:rsid w:val="000B74F5"/>
    <w:rsid w:val="000C0EE9"/>
    <w:rsid w:val="000C0FA4"/>
    <w:rsid w:val="000C1E61"/>
    <w:rsid w:val="000C38CC"/>
    <w:rsid w:val="000C3E57"/>
    <w:rsid w:val="000C535D"/>
    <w:rsid w:val="000C68C5"/>
    <w:rsid w:val="000C756B"/>
    <w:rsid w:val="000D2652"/>
    <w:rsid w:val="000D297F"/>
    <w:rsid w:val="000D2B99"/>
    <w:rsid w:val="000D5202"/>
    <w:rsid w:val="000D561E"/>
    <w:rsid w:val="000D56C1"/>
    <w:rsid w:val="000D64F4"/>
    <w:rsid w:val="000D68A5"/>
    <w:rsid w:val="000D7053"/>
    <w:rsid w:val="000E1B1A"/>
    <w:rsid w:val="000E233E"/>
    <w:rsid w:val="000E303A"/>
    <w:rsid w:val="000E37D0"/>
    <w:rsid w:val="000E47DD"/>
    <w:rsid w:val="000E4C36"/>
    <w:rsid w:val="000F1A09"/>
    <w:rsid w:val="000F1C78"/>
    <w:rsid w:val="000F6D32"/>
    <w:rsid w:val="00100088"/>
    <w:rsid w:val="001003D4"/>
    <w:rsid w:val="00101E1D"/>
    <w:rsid w:val="001041DD"/>
    <w:rsid w:val="00105E86"/>
    <w:rsid w:val="00105F3E"/>
    <w:rsid w:val="00106A2F"/>
    <w:rsid w:val="00107413"/>
    <w:rsid w:val="00107D34"/>
    <w:rsid w:val="0011016B"/>
    <w:rsid w:val="00112A80"/>
    <w:rsid w:val="0011343D"/>
    <w:rsid w:val="00120863"/>
    <w:rsid w:val="00120F56"/>
    <w:rsid w:val="00122A5D"/>
    <w:rsid w:val="0012321B"/>
    <w:rsid w:val="00123EBF"/>
    <w:rsid w:val="0012580F"/>
    <w:rsid w:val="00130426"/>
    <w:rsid w:val="00132A05"/>
    <w:rsid w:val="00132F41"/>
    <w:rsid w:val="00135503"/>
    <w:rsid w:val="00135F6B"/>
    <w:rsid w:val="001366BE"/>
    <w:rsid w:val="00137F03"/>
    <w:rsid w:val="00140D42"/>
    <w:rsid w:val="00141484"/>
    <w:rsid w:val="00142BDC"/>
    <w:rsid w:val="00143DDD"/>
    <w:rsid w:val="001450B2"/>
    <w:rsid w:val="00145204"/>
    <w:rsid w:val="00157F8D"/>
    <w:rsid w:val="0016114A"/>
    <w:rsid w:val="00161979"/>
    <w:rsid w:val="001639CD"/>
    <w:rsid w:val="001662A0"/>
    <w:rsid w:val="00167619"/>
    <w:rsid w:val="00167D26"/>
    <w:rsid w:val="00171D47"/>
    <w:rsid w:val="001729C2"/>
    <w:rsid w:val="00172BA5"/>
    <w:rsid w:val="001731FE"/>
    <w:rsid w:val="00175094"/>
    <w:rsid w:val="00177E76"/>
    <w:rsid w:val="001806ED"/>
    <w:rsid w:val="001818C2"/>
    <w:rsid w:val="00185144"/>
    <w:rsid w:val="001852FF"/>
    <w:rsid w:val="00185666"/>
    <w:rsid w:val="00191D7E"/>
    <w:rsid w:val="00192685"/>
    <w:rsid w:val="00192E5C"/>
    <w:rsid w:val="001957B3"/>
    <w:rsid w:val="00197FB1"/>
    <w:rsid w:val="001A0ABF"/>
    <w:rsid w:val="001A348C"/>
    <w:rsid w:val="001A6AE1"/>
    <w:rsid w:val="001A7AEC"/>
    <w:rsid w:val="001A7D04"/>
    <w:rsid w:val="001B20DF"/>
    <w:rsid w:val="001B374D"/>
    <w:rsid w:val="001B5C01"/>
    <w:rsid w:val="001C11E7"/>
    <w:rsid w:val="001C2799"/>
    <w:rsid w:val="001C30E6"/>
    <w:rsid w:val="001C3286"/>
    <w:rsid w:val="001C736E"/>
    <w:rsid w:val="001C7548"/>
    <w:rsid w:val="001C7CF9"/>
    <w:rsid w:val="001D0CDB"/>
    <w:rsid w:val="001D4902"/>
    <w:rsid w:val="001D7C3B"/>
    <w:rsid w:val="001E1706"/>
    <w:rsid w:val="001E21FD"/>
    <w:rsid w:val="001E41A0"/>
    <w:rsid w:val="001E4E32"/>
    <w:rsid w:val="001E511A"/>
    <w:rsid w:val="001E523E"/>
    <w:rsid w:val="001F1043"/>
    <w:rsid w:val="001F1370"/>
    <w:rsid w:val="001F1930"/>
    <w:rsid w:val="001F392C"/>
    <w:rsid w:val="001F3EDA"/>
    <w:rsid w:val="001F4050"/>
    <w:rsid w:val="001F55D7"/>
    <w:rsid w:val="001F59D2"/>
    <w:rsid w:val="001F6F54"/>
    <w:rsid w:val="00201F0A"/>
    <w:rsid w:val="00204CEE"/>
    <w:rsid w:val="00205DEC"/>
    <w:rsid w:val="00206262"/>
    <w:rsid w:val="00207646"/>
    <w:rsid w:val="00207E09"/>
    <w:rsid w:val="0021139A"/>
    <w:rsid w:val="00211E2B"/>
    <w:rsid w:val="00211FCE"/>
    <w:rsid w:val="00212615"/>
    <w:rsid w:val="00213BA7"/>
    <w:rsid w:val="00213EF5"/>
    <w:rsid w:val="00215BD9"/>
    <w:rsid w:val="00216EE6"/>
    <w:rsid w:val="0021795D"/>
    <w:rsid w:val="00220280"/>
    <w:rsid w:val="00221F9B"/>
    <w:rsid w:val="002247F6"/>
    <w:rsid w:val="00224847"/>
    <w:rsid w:val="00224EC4"/>
    <w:rsid w:val="00225336"/>
    <w:rsid w:val="0022671A"/>
    <w:rsid w:val="00232D3E"/>
    <w:rsid w:val="0023335D"/>
    <w:rsid w:val="002350C2"/>
    <w:rsid w:val="00235282"/>
    <w:rsid w:val="002352B1"/>
    <w:rsid w:val="00235FE8"/>
    <w:rsid w:val="00236B31"/>
    <w:rsid w:val="00240BA3"/>
    <w:rsid w:val="00241B5C"/>
    <w:rsid w:val="002441B1"/>
    <w:rsid w:val="002469F2"/>
    <w:rsid w:val="00247582"/>
    <w:rsid w:val="00247E47"/>
    <w:rsid w:val="00250317"/>
    <w:rsid w:val="002509A1"/>
    <w:rsid w:val="00250C08"/>
    <w:rsid w:val="00251B85"/>
    <w:rsid w:val="00253A1C"/>
    <w:rsid w:val="00253A98"/>
    <w:rsid w:val="00254F67"/>
    <w:rsid w:val="002552B1"/>
    <w:rsid w:val="0025580E"/>
    <w:rsid w:val="00261405"/>
    <w:rsid w:val="00262D33"/>
    <w:rsid w:val="0026768C"/>
    <w:rsid w:val="00272E7E"/>
    <w:rsid w:val="002734A9"/>
    <w:rsid w:val="0027355C"/>
    <w:rsid w:val="00275E03"/>
    <w:rsid w:val="002760A5"/>
    <w:rsid w:val="00277D09"/>
    <w:rsid w:val="002803B5"/>
    <w:rsid w:val="00280F0C"/>
    <w:rsid w:val="00281751"/>
    <w:rsid w:val="002869FA"/>
    <w:rsid w:val="00294774"/>
    <w:rsid w:val="0029543F"/>
    <w:rsid w:val="00296D5C"/>
    <w:rsid w:val="002A051B"/>
    <w:rsid w:val="002A193C"/>
    <w:rsid w:val="002A3056"/>
    <w:rsid w:val="002A3C52"/>
    <w:rsid w:val="002A3D06"/>
    <w:rsid w:val="002A62A3"/>
    <w:rsid w:val="002A7C9A"/>
    <w:rsid w:val="002B0B30"/>
    <w:rsid w:val="002B1638"/>
    <w:rsid w:val="002B1CCE"/>
    <w:rsid w:val="002B2548"/>
    <w:rsid w:val="002B2B9C"/>
    <w:rsid w:val="002B2DB6"/>
    <w:rsid w:val="002B4047"/>
    <w:rsid w:val="002B5121"/>
    <w:rsid w:val="002C0705"/>
    <w:rsid w:val="002C2D85"/>
    <w:rsid w:val="002C3AAD"/>
    <w:rsid w:val="002C74E2"/>
    <w:rsid w:val="002D1E4E"/>
    <w:rsid w:val="002D4854"/>
    <w:rsid w:val="002D656F"/>
    <w:rsid w:val="002D7B6A"/>
    <w:rsid w:val="002E028F"/>
    <w:rsid w:val="002E1364"/>
    <w:rsid w:val="002E514A"/>
    <w:rsid w:val="002E7C50"/>
    <w:rsid w:val="002E7EF8"/>
    <w:rsid w:val="002F0D60"/>
    <w:rsid w:val="002F1211"/>
    <w:rsid w:val="002F1E63"/>
    <w:rsid w:val="002F1FD0"/>
    <w:rsid w:val="002F5DC3"/>
    <w:rsid w:val="002F6150"/>
    <w:rsid w:val="002F65BB"/>
    <w:rsid w:val="002F66EE"/>
    <w:rsid w:val="00302AFC"/>
    <w:rsid w:val="00302BA1"/>
    <w:rsid w:val="00304770"/>
    <w:rsid w:val="00304926"/>
    <w:rsid w:val="00304A45"/>
    <w:rsid w:val="00305A11"/>
    <w:rsid w:val="00306D40"/>
    <w:rsid w:val="00307E86"/>
    <w:rsid w:val="0031130A"/>
    <w:rsid w:val="00313172"/>
    <w:rsid w:val="003133FB"/>
    <w:rsid w:val="00313462"/>
    <w:rsid w:val="003217DA"/>
    <w:rsid w:val="00325077"/>
    <w:rsid w:val="003267C0"/>
    <w:rsid w:val="00326B32"/>
    <w:rsid w:val="00330417"/>
    <w:rsid w:val="003337D6"/>
    <w:rsid w:val="003349A6"/>
    <w:rsid w:val="00335232"/>
    <w:rsid w:val="0033642B"/>
    <w:rsid w:val="00340DEE"/>
    <w:rsid w:val="00342D54"/>
    <w:rsid w:val="00343423"/>
    <w:rsid w:val="0034608C"/>
    <w:rsid w:val="00356E4A"/>
    <w:rsid w:val="00357A26"/>
    <w:rsid w:val="00360B3B"/>
    <w:rsid w:val="00360C8F"/>
    <w:rsid w:val="00360E12"/>
    <w:rsid w:val="00360EB5"/>
    <w:rsid w:val="00362B02"/>
    <w:rsid w:val="00362BAC"/>
    <w:rsid w:val="003641BC"/>
    <w:rsid w:val="0036603D"/>
    <w:rsid w:val="003669D3"/>
    <w:rsid w:val="00367999"/>
    <w:rsid w:val="00372DDE"/>
    <w:rsid w:val="003750E5"/>
    <w:rsid w:val="00375BB9"/>
    <w:rsid w:val="00380202"/>
    <w:rsid w:val="00383EB9"/>
    <w:rsid w:val="0038641A"/>
    <w:rsid w:val="00386587"/>
    <w:rsid w:val="0038679E"/>
    <w:rsid w:val="00387CA6"/>
    <w:rsid w:val="00392A8F"/>
    <w:rsid w:val="00393A95"/>
    <w:rsid w:val="00397AD9"/>
    <w:rsid w:val="00397F65"/>
    <w:rsid w:val="003A1459"/>
    <w:rsid w:val="003A4043"/>
    <w:rsid w:val="003A73EA"/>
    <w:rsid w:val="003B2AE1"/>
    <w:rsid w:val="003B2B5C"/>
    <w:rsid w:val="003B482F"/>
    <w:rsid w:val="003B5BDE"/>
    <w:rsid w:val="003B6861"/>
    <w:rsid w:val="003B6E69"/>
    <w:rsid w:val="003B71BA"/>
    <w:rsid w:val="003B76F3"/>
    <w:rsid w:val="003B7C2F"/>
    <w:rsid w:val="003C034B"/>
    <w:rsid w:val="003C0AB8"/>
    <w:rsid w:val="003C11F9"/>
    <w:rsid w:val="003C14CC"/>
    <w:rsid w:val="003C2C03"/>
    <w:rsid w:val="003C5177"/>
    <w:rsid w:val="003C689D"/>
    <w:rsid w:val="003C7999"/>
    <w:rsid w:val="003D3700"/>
    <w:rsid w:val="003D459A"/>
    <w:rsid w:val="003D5551"/>
    <w:rsid w:val="003D6152"/>
    <w:rsid w:val="003D6584"/>
    <w:rsid w:val="003D6F97"/>
    <w:rsid w:val="003E02A2"/>
    <w:rsid w:val="003E50EF"/>
    <w:rsid w:val="003E5941"/>
    <w:rsid w:val="003E6CF4"/>
    <w:rsid w:val="003F0BBC"/>
    <w:rsid w:val="003F17AD"/>
    <w:rsid w:val="003F3141"/>
    <w:rsid w:val="00400314"/>
    <w:rsid w:val="00402774"/>
    <w:rsid w:val="00405CCA"/>
    <w:rsid w:val="00407453"/>
    <w:rsid w:val="00410DAE"/>
    <w:rsid w:val="00410FA8"/>
    <w:rsid w:val="0041196C"/>
    <w:rsid w:val="00413253"/>
    <w:rsid w:val="004167F0"/>
    <w:rsid w:val="00416DDC"/>
    <w:rsid w:val="00417F09"/>
    <w:rsid w:val="00421118"/>
    <w:rsid w:val="0042239B"/>
    <w:rsid w:val="00423209"/>
    <w:rsid w:val="00424E30"/>
    <w:rsid w:val="00425779"/>
    <w:rsid w:val="00430168"/>
    <w:rsid w:val="00430FBC"/>
    <w:rsid w:val="0043213D"/>
    <w:rsid w:val="0043263D"/>
    <w:rsid w:val="0043678D"/>
    <w:rsid w:val="00436F19"/>
    <w:rsid w:val="0044191A"/>
    <w:rsid w:val="004525A6"/>
    <w:rsid w:val="004551F0"/>
    <w:rsid w:val="004564B1"/>
    <w:rsid w:val="00456AC0"/>
    <w:rsid w:val="0046399A"/>
    <w:rsid w:val="0046414F"/>
    <w:rsid w:val="00467211"/>
    <w:rsid w:val="0047067C"/>
    <w:rsid w:val="00470806"/>
    <w:rsid w:val="00471A6D"/>
    <w:rsid w:val="00472034"/>
    <w:rsid w:val="004771CD"/>
    <w:rsid w:val="00477CBD"/>
    <w:rsid w:val="00480D62"/>
    <w:rsid w:val="004828DD"/>
    <w:rsid w:val="00483954"/>
    <w:rsid w:val="00485FAA"/>
    <w:rsid w:val="00491562"/>
    <w:rsid w:val="0049204C"/>
    <w:rsid w:val="004A0A3E"/>
    <w:rsid w:val="004A29C7"/>
    <w:rsid w:val="004A40F5"/>
    <w:rsid w:val="004A4A4B"/>
    <w:rsid w:val="004B0D19"/>
    <w:rsid w:val="004B198D"/>
    <w:rsid w:val="004B3A90"/>
    <w:rsid w:val="004B5F60"/>
    <w:rsid w:val="004B60CE"/>
    <w:rsid w:val="004B7195"/>
    <w:rsid w:val="004C0704"/>
    <w:rsid w:val="004C14B8"/>
    <w:rsid w:val="004C36CB"/>
    <w:rsid w:val="004C40D3"/>
    <w:rsid w:val="004C4E18"/>
    <w:rsid w:val="004C51E9"/>
    <w:rsid w:val="004C782E"/>
    <w:rsid w:val="004C788A"/>
    <w:rsid w:val="004D156C"/>
    <w:rsid w:val="004D174F"/>
    <w:rsid w:val="004D1B9C"/>
    <w:rsid w:val="004D1CD0"/>
    <w:rsid w:val="004D627F"/>
    <w:rsid w:val="004D6ED9"/>
    <w:rsid w:val="004E0E8D"/>
    <w:rsid w:val="004E103F"/>
    <w:rsid w:val="004E2B8E"/>
    <w:rsid w:val="004E4487"/>
    <w:rsid w:val="004E4CE6"/>
    <w:rsid w:val="004E512F"/>
    <w:rsid w:val="004E5691"/>
    <w:rsid w:val="004E5B2A"/>
    <w:rsid w:val="004E6394"/>
    <w:rsid w:val="004E6C85"/>
    <w:rsid w:val="004E71E4"/>
    <w:rsid w:val="004F00B9"/>
    <w:rsid w:val="004F2E33"/>
    <w:rsid w:val="004F3166"/>
    <w:rsid w:val="004F5A3A"/>
    <w:rsid w:val="004F75E0"/>
    <w:rsid w:val="00500787"/>
    <w:rsid w:val="00503449"/>
    <w:rsid w:val="00506BC2"/>
    <w:rsid w:val="00506E69"/>
    <w:rsid w:val="00510B4C"/>
    <w:rsid w:val="00510B60"/>
    <w:rsid w:val="00511E40"/>
    <w:rsid w:val="00512DBF"/>
    <w:rsid w:val="005130E1"/>
    <w:rsid w:val="00517F50"/>
    <w:rsid w:val="005207C3"/>
    <w:rsid w:val="00521B0F"/>
    <w:rsid w:val="00524D89"/>
    <w:rsid w:val="00526A72"/>
    <w:rsid w:val="00527EA9"/>
    <w:rsid w:val="00530F24"/>
    <w:rsid w:val="005318A7"/>
    <w:rsid w:val="00531DEA"/>
    <w:rsid w:val="00532232"/>
    <w:rsid w:val="0053250C"/>
    <w:rsid w:val="00533F56"/>
    <w:rsid w:val="005344A0"/>
    <w:rsid w:val="00534AE1"/>
    <w:rsid w:val="00535060"/>
    <w:rsid w:val="005361EB"/>
    <w:rsid w:val="00536A1F"/>
    <w:rsid w:val="00540304"/>
    <w:rsid w:val="00540533"/>
    <w:rsid w:val="00540FE1"/>
    <w:rsid w:val="0055102A"/>
    <w:rsid w:val="005511BE"/>
    <w:rsid w:val="00551DBB"/>
    <w:rsid w:val="00553D38"/>
    <w:rsid w:val="00556D96"/>
    <w:rsid w:val="00557E5A"/>
    <w:rsid w:val="005602F0"/>
    <w:rsid w:val="005614CA"/>
    <w:rsid w:val="00563871"/>
    <w:rsid w:val="00565834"/>
    <w:rsid w:val="0057078D"/>
    <w:rsid w:val="00571CA2"/>
    <w:rsid w:val="005720BD"/>
    <w:rsid w:val="0057369E"/>
    <w:rsid w:val="00574E13"/>
    <w:rsid w:val="0057576C"/>
    <w:rsid w:val="00576EEE"/>
    <w:rsid w:val="00577BC6"/>
    <w:rsid w:val="00584007"/>
    <w:rsid w:val="00584102"/>
    <w:rsid w:val="005869E4"/>
    <w:rsid w:val="005909A2"/>
    <w:rsid w:val="00590B9B"/>
    <w:rsid w:val="0059360E"/>
    <w:rsid w:val="005963DF"/>
    <w:rsid w:val="00597E84"/>
    <w:rsid w:val="005A6A76"/>
    <w:rsid w:val="005A7B6E"/>
    <w:rsid w:val="005A7D27"/>
    <w:rsid w:val="005B56FD"/>
    <w:rsid w:val="005B5941"/>
    <w:rsid w:val="005B7583"/>
    <w:rsid w:val="005B7803"/>
    <w:rsid w:val="005C18C7"/>
    <w:rsid w:val="005C1DDB"/>
    <w:rsid w:val="005C2EF8"/>
    <w:rsid w:val="005C304E"/>
    <w:rsid w:val="005C3A64"/>
    <w:rsid w:val="005C3B3D"/>
    <w:rsid w:val="005C66C6"/>
    <w:rsid w:val="005C7C4C"/>
    <w:rsid w:val="005C7C66"/>
    <w:rsid w:val="005C7C6F"/>
    <w:rsid w:val="005D1022"/>
    <w:rsid w:val="005D12AD"/>
    <w:rsid w:val="005D4E2F"/>
    <w:rsid w:val="005D52DD"/>
    <w:rsid w:val="005D5BE5"/>
    <w:rsid w:val="005D7D11"/>
    <w:rsid w:val="005D7D48"/>
    <w:rsid w:val="005E2702"/>
    <w:rsid w:val="005E511D"/>
    <w:rsid w:val="005E5BDC"/>
    <w:rsid w:val="005F00D3"/>
    <w:rsid w:val="005F66EE"/>
    <w:rsid w:val="00604654"/>
    <w:rsid w:val="00605CB7"/>
    <w:rsid w:val="00607142"/>
    <w:rsid w:val="00610597"/>
    <w:rsid w:val="00613689"/>
    <w:rsid w:val="00613FE3"/>
    <w:rsid w:val="006140B8"/>
    <w:rsid w:val="0061671A"/>
    <w:rsid w:val="006175DC"/>
    <w:rsid w:val="006242A8"/>
    <w:rsid w:val="00624634"/>
    <w:rsid w:val="006262DE"/>
    <w:rsid w:val="006303AC"/>
    <w:rsid w:val="006325D7"/>
    <w:rsid w:val="006367C0"/>
    <w:rsid w:val="0064254E"/>
    <w:rsid w:val="006431B2"/>
    <w:rsid w:val="006448B8"/>
    <w:rsid w:val="006450E6"/>
    <w:rsid w:val="00650501"/>
    <w:rsid w:val="00652C5A"/>
    <w:rsid w:val="00655BB7"/>
    <w:rsid w:val="006614C7"/>
    <w:rsid w:val="006623AE"/>
    <w:rsid w:val="00664B66"/>
    <w:rsid w:val="00664E88"/>
    <w:rsid w:val="00665C06"/>
    <w:rsid w:val="0066773D"/>
    <w:rsid w:val="00670C95"/>
    <w:rsid w:val="0067305F"/>
    <w:rsid w:val="00673271"/>
    <w:rsid w:val="00682425"/>
    <w:rsid w:val="00684009"/>
    <w:rsid w:val="0068500C"/>
    <w:rsid w:val="00686819"/>
    <w:rsid w:val="006915B0"/>
    <w:rsid w:val="006931E5"/>
    <w:rsid w:val="0069351D"/>
    <w:rsid w:val="006945E0"/>
    <w:rsid w:val="00696B38"/>
    <w:rsid w:val="00697411"/>
    <w:rsid w:val="006A0929"/>
    <w:rsid w:val="006A0CDE"/>
    <w:rsid w:val="006A1F38"/>
    <w:rsid w:val="006A2DFB"/>
    <w:rsid w:val="006A4E45"/>
    <w:rsid w:val="006A60CA"/>
    <w:rsid w:val="006A68AD"/>
    <w:rsid w:val="006A6B5E"/>
    <w:rsid w:val="006B0118"/>
    <w:rsid w:val="006B0D61"/>
    <w:rsid w:val="006B1D47"/>
    <w:rsid w:val="006B1E0F"/>
    <w:rsid w:val="006B2458"/>
    <w:rsid w:val="006B37BF"/>
    <w:rsid w:val="006B4004"/>
    <w:rsid w:val="006C0DD2"/>
    <w:rsid w:val="006C3745"/>
    <w:rsid w:val="006C513C"/>
    <w:rsid w:val="006D6405"/>
    <w:rsid w:val="006D680D"/>
    <w:rsid w:val="006E0660"/>
    <w:rsid w:val="006E1236"/>
    <w:rsid w:val="006E2244"/>
    <w:rsid w:val="006E2612"/>
    <w:rsid w:val="006E273F"/>
    <w:rsid w:val="006E301A"/>
    <w:rsid w:val="006E57A0"/>
    <w:rsid w:val="006E79E2"/>
    <w:rsid w:val="006F33E5"/>
    <w:rsid w:val="006F4829"/>
    <w:rsid w:val="006F78E4"/>
    <w:rsid w:val="0070348C"/>
    <w:rsid w:val="00703EEC"/>
    <w:rsid w:val="007045E0"/>
    <w:rsid w:val="00704EED"/>
    <w:rsid w:val="007054B1"/>
    <w:rsid w:val="00707643"/>
    <w:rsid w:val="007118CE"/>
    <w:rsid w:val="00713B62"/>
    <w:rsid w:val="00713DF2"/>
    <w:rsid w:val="00715506"/>
    <w:rsid w:val="00722948"/>
    <w:rsid w:val="00722BB6"/>
    <w:rsid w:val="007239A7"/>
    <w:rsid w:val="0072430F"/>
    <w:rsid w:val="0072442D"/>
    <w:rsid w:val="007261FA"/>
    <w:rsid w:val="007271B0"/>
    <w:rsid w:val="007308DF"/>
    <w:rsid w:val="00731253"/>
    <w:rsid w:val="00731FC4"/>
    <w:rsid w:val="00733A2E"/>
    <w:rsid w:val="00733F13"/>
    <w:rsid w:val="007361F9"/>
    <w:rsid w:val="0074192E"/>
    <w:rsid w:val="00742F07"/>
    <w:rsid w:val="007465AE"/>
    <w:rsid w:val="0074725B"/>
    <w:rsid w:val="00747EE2"/>
    <w:rsid w:val="0075575B"/>
    <w:rsid w:val="007559D8"/>
    <w:rsid w:val="00761B88"/>
    <w:rsid w:val="007641DB"/>
    <w:rsid w:val="0076424B"/>
    <w:rsid w:val="00765653"/>
    <w:rsid w:val="00766107"/>
    <w:rsid w:val="00775128"/>
    <w:rsid w:val="00781ABD"/>
    <w:rsid w:val="00782CA9"/>
    <w:rsid w:val="007839A6"/>
    <w:rsid w:val="00784D23"/>
    <w:rsid w:val="00785248"/>
    <w:rsid w:val="00785F02"/>
    <w:rsid w:val="00785F3D"/>
    <w:rsid w:val="0078678C"/>
    <w:rsid w:val="00792F67"/>
    <w:rsid w:val="00794313"/>
    <w:rsid w:val="007A0EF8"/>
    <w:rsid w:val="007A4F63"/>
    <w:rsid w:val="007B1144"/>
    <w:rsid w:val="007B16B9"/>
    <w:rsid w:val="007B2CF7"/>
    <w:rsid w:val="007B3F75"/>
    <w:rsid w:val="007B673A"/>
    <w:rsid w:val="007B67FA"/>
    <w:rsid w:val="007C1AD7"/>
    <w:rsid w:val="007C1F7C"/>
    <w:rsid w:val="007C2CE9"/>
    <w:rsid w:val="007C2D87"/>
    <w:rsid w:val="007C3B3D"/>
    <w:rsid w:val="007C51CE"/>
    <w:rsid w:val="007C594A"/>
    <w:rsid w:val="007C6685"/>
    <w:rsid w:val="007C669C"/>
    <w:rsid w:val="007C7C40"/>
    <w:rsid w:val="007D0122"/>
    <w:rsid w:val="007D339D"/>
    <w:rsid w:val="007D449D"/>
    <w:rsid w:val="007D7BFA"/>
    <w:rsid w:val="007D7DA8"/>
    <w:rsid w:val="007E4358"/>
    <w:rsid w:val="007E48C4"/>
    <w:rsid w:val="007F09BE"/>
    <w:rsid w:val="007F4F5C"/>
    <w:rsid w:val="007F51DE"/>
    <w:rsid w:val="007F6936"/>
    <w:rsid w:val="0081073E"/>
    <w:rsid w:val="00811E76"/>
    <w:rsid w:val="00811F54"/>
    <w:rsid w:val="00815356"/>
    <w:rsid w:val="0081746F"/>
    <w:rsid w:val="008176EA"/>
    <w:rsid w:val="00820638"/>
    <w:rsid w:val="00822A8B"/>
    <w:rsid w:val="0082623A"/>
    <w:rsid w:val="0083162A"/>
    <w:rsid w:val="008317DF"/>
    <w:rsid w:val="0083354E"/>
    <w:rsid w:val="0083408A"/>
    <w:rsid w:val="00837B45"/>
    <w:rsid w:val="0084004B"/>
    <w:rsid w:val="00843949"/>
    <w:rsid w:val="00846383"/>
    <w:rsid w:val="00850EF8"/>
    <w:rsid w:val="008540B3"/>
    <w:rsid w:val="00855CAF"/>
    <w:rsid w:val="00856E31"/>
    <w:rsid w:val="008626DE"/>
    <w:rsid w:val="00863BDE"/>
    <w:rsid w:val="00864395"/>
    <w:rsid w:val="00864AA2"/>
    <w:rsid w:val="00864E38"/>
    <w:rsid w:val="00865D61"/>
    <w:rsid w:val="008663ED"/>
    <w:rsid w:val="00870491"/>
    <w:rsid w:val="008706E0"/>
    <w:rsid w:val="00872DE2"/>
    <w:rsid w:val="00873259"/>
    <w:rsid w:val="008732D9"/>
    <w:rsid w:val="00874006"/>
    <w:rsid w:val="00874E3A"/>
    <w:rsid w:val="008756F1"/>
    <w:rsid w:val="00876CB1"/>
    <w:rsid w:val="00877F96"/>
    <w:rsid w:val="008804AC"/>
    <w:rsid w:val="008848BE"/>
    <w:rsid w:val="008858B9"/>
    <w:rsid w:val="008869FA"/>
    <w:rsid w:val="00891CEB"/>
    <w:rsid w:val="008925B5"/>
    <w:rsid w:val="00896053"/>
    <w:rsid w:val="00896E2F"/>
    <w:rsid w:val="008971F6"/>
    <w:rsid w:val="008A0D33"/>
    <w:rsid w:val="008A11CC"/>
    <w:rsid w:val="008A35FF"/>
    <w:rsid w:val="008A3A89"/>
    <w:rsid w:val="008A3DC7"/>
    <w:rsid w:val="008A546F"/>
    <w:rsid w:val="008B008B"/>
    <w:rsid w:val="008B0842"/>
    <w:rsid w:val="008B17A0"/>
    <w:rsid w:val="008B1EC5"/>
    <w:rsid w:val="008B256B"/>
    <w:rsid w:val="008B312E"/>
    <w:rsid w:val="008B35D2"/>
    <w:rsid w:val="008B397C"/>
    <w:rsid w:val="008B4D09"/>
    <w:rsid w:val="008B526D"/>
    <w:rsid w:val="008B57FD"/>
    <w:rsid w:val="008C250C"/>
    <w:rsid w:val="008C4548"/>
    <w:rsid w:val="008C568C"/>
    <w:rsid w:val="008C6FEC"/>
    <w:rsid w:val="008C74A3"/>
    <w:rsid w:val="008C7E94"/>
    <w:rsid w:val="008D08AA"/>
    <w:rsid w:val="008D313A"/>
    <w:rsid w:val="008D38A7"/>
    <w:rsid w:val="008D6687"/>
    <w:rsid w:val="008D6D4D"/>
    <w:rsid w:val="008D7C93"/>
    <w:rsid w:val="008D7D49"/>
    <w:rsid w:val="008E0E71"/>
    <w:rsid w:val="008E140F"/>
    <w:rsid w:val="008E423B"/>
    <w:rsid w:val="008E5465"/>
    <w:rsid w:val="008E57D5"/>
    <w:rsid w:val="008E65AC"/>
    <w:rsid w:val="008E729B"/>
    <w:rsid w:val="008E764B"/>
    <w:rsid w:val="008F14BF"/>
    <w:rsid w:val="008F4C78"/>
    <w:rsid w:val="00900C0E"/>
    <w:rsid w:val="009019F8"/>
    <w:rsid w:val="00902AE9"/>
    <w:rsid w:val="00902D61"/>
    <w:rsid w:val="00903C0F"/>
    <w:rsid w:val="00903E16"/>
    <w:rsid w:val="00906F0A"/>
    <w:rsid w:val="0091053B"/>
    <w:rsid w:val="00915355"/>
    <w:rsid w:val="00915A06"/>
    <w:rsid w:val="00917C90"/>
    <w:rsid w:val="0092031E"/>
    <w:rsid w:val="00920DB4"/>
    <w:rsid w:val="0092218F"/>
    <w:rsid w:val="00923870"/>
    <w:rsid w:val="009253AF"/>
    <w:rsid w:val="00926043"/>
    <w:rsid w:val="009269CF"/>
    <w:rsid w:val="00930E9D"/>
    <w:rsid w:val="009316A4"/>
    <w:rsid w:val="00932E47"/>
    <w:rsid w:val="0093535E"/>
    <w:rsid w:val="009360D7"/>
    <w:rsid w:val="0093639B"/>
    <w:rsid w:val="00936922"/>
    <w:rsid w:val="00937D76"/>
    <w:rsid w:val="00941825"/>
    <w:rsid w:val="00941F3A"/>
    <w:rsid w:val="009426DC"/>
    <w:rsid w:val="00943F4C"/>
    <w:rsid w:val="009442FC"/>
    <w:rsid w:val="009467CA"/>
    <w:rsid w:val="00947794"/>
    <w:rsid w:val="009529A9"/>
    <w:rsid w:val="00954E05"/>
    <w:rsid w:val="00960861"/>
    <w:rsid w:val="0096240D"/>
    <w:rsid w:val="00967DCE"/>
    <w:rsid w:val="0097070E"/>
    <w:rsid w:val="00970E8C"/>
    <w:rsid w:val="009721F5"/>
    <w:rsid w:val="00973281"/>
    <w:rsid w:val="00973AAC"/>
    <w:rsid w:val="00973C45"/>
    <w:rsid w:val="00973D9B"/>
    <w:rsid w:val="00974548"/>
    <w:rsid w:val="00974955"/>
    <w:rsid w:val="009765C3"/>
    <w:rsid w:val="00980406"/>
    <w:rsid w:val="009806DB"/>
    <w:rsid w:val="00981DE9"/>
    <w:rsid w:val="00982DAB"/>
    <w:rsid w:val="00987FE1"/>
    <w:rsid w:val="00991B82"/>
    <w:rsid w:val="00995F58"/>
    <w:rsid w:val="0099655F"/>
    <w:rsid w:val="00997073"/>
    <w:rsid w:val="00997B53"/>
    <w:rsid w:val="00997DD5"/>
    <w:rsid w:val="009A3662"/>
    <w:rsid w:val="009A4324"/>
    <w:rsid w:val="009A4DB9"/>
    <w:rsid w:val="009B00C2"/>
    <w:rsid w:val="009B160A"/>
    <w:rsid w:val="009B2CD2"/>
    <w:rsid w:val="009B3FA3"/>
    <w:rsid w:val="009C0360"/>
    <w:rsid w:val="009C17CB"/>
    <w:rsid w:val="009C4A32"/>
    <w:rsid w:val="009C5392"/>
    <w:rsid w:val="009C55AF"/>
    <w:rsid w:val="009C5F32"/>
    <w:rsid w:val="009C636E"/>
    <w:rsid w:val="009C689D"/>
    <w:rsid w:val="009D248C"/>
    <w:rsid w:val="009D2C87"/>
    <w:rsid w:val="009D3860"/>
    <w:rsid w:val="009E0438"/>
    <w:rsid w:val="009E086A"/>
    <w:rsid w:val="009E0CCD"/>
    <w:rsid w:val="009E4905"/>
    <w:rsid w:val="009E6CF8"/>
    <w:rsid w:val="009F0367"/>
    <w:rsid w:val="009F16A7"/>
    <w:rsid w:val="009F1D5E"/>
    <w:rsid w:val="009F5662"/>
    <w:rsid w:val="00A0002F"/>
    <w:rsid w:val="00A000D6"/>
    <w:rsid w:val="00A01516"/>
    <w:rsid w:val="00A04CFD"/>
    <w:rsid w:val="00A072A7"/>
    <w:rsid w:val="00A101D2"/>
    <w:rsid w:val="00A10DAA"/>
    <w:rsid w:val="00A10FB1"/>
    <w:rsid w:val="00A12287"/>
    <w:rsid w:val="00A14F8C"/>
    <w:rsid w:val="00A1517B"/>
    <w:rsid w:val="00A15892"/>
    <w:rsid w:val="00A15F3A"/>
    <w:rsid w:val="00A20B67"/>
    <w:rsid w:val="00A210DF"/>
    <w:rsid w:val="00A229E5"/>
    <w:rsid w:val="00A23541"/>
    <w:rsid w:val="00A259AA"/>
    <w:rsid w:val="00A25A25"/>
    <w:rsid w:val="00A301E2"/>
    <w:rsid w:val="00A3039D"/>
    <w:rsid w:val="00A31324"/>
    <w:rsid w:val="00A313AB"/>
    <w:rsid w:val="00A31879"/>
    <w:rsid w:val="00A31EB7"/>
    <w:rsid w:val="00A35310"/>
    <w:rsid w:val="00A41948"/>
    <w:rsid w:val="00A4303F"/>
    <w:rsid w:val="00A445E5"/>
    <w:rsid w:val="00A45502"/>
    <w:rsid w:val="00A47B07"/>
    <w:rsid w:val="00A535E7"/>
    <w:rsid w:val="00A54F33"/>
    <w:rsid w:val="00A564BB"/>
    <w:rsid w:val="00A609E4"/>
    <w:rsid w:val="00A61342"/>
    <w:rsid w:val="00A61EA8"/>
    <w:rsid w:val="00A65439"/>
    <w:rsid w:val="00A657C0"/>
    <w:rsid w:val="00A669D1"/>
    <w:rsid w:val="00A70E46"/>
    <w:rsid w:val="00A74FF8"/>
    <w:rsid w:val="00A76C11"/>
    <w:rsid w:val="00A77CDB"/>
    <w:rsid w:val="00A77F9A"/>
    <w:rsid w:val="00A85079"/>
    <w:rsid w:val="00A863BE"/>
    <w:rsid w:val="00A943FE"/>
    <w:rsid w:val="00A97AE8"/>
    <w:rsid w:val="00AA0063"/>
    <w:rsid w:val="00AA05DE"/>
    <w:rsid w:val="00AA1158"/>
    <w:rsid w:val="00AA1343"/>
    <w:rsid w:val="00AA13E0"/>
    <w:rsid w:val="00AA1466"/>
    <w:rsid w:val="00AA2B57"/>
    <w:rsid w:val="00AC19D7"/>
    <w:rsid w:val="00AC254A"/>
    <w:rsid w:val="00AC4CD4"/>
    <w:rsid w:val="00AC4D7E"/>
    <w:rsid w:val="00AC6E25"/>
    <w:rsid w:val="00AC7CFB"/>
    <w:rsid w:val="00AD0C07"/>
    <w:rsid w:val="00AD66B8"/>
    <w:rsid w:val="00AE2492"/>
    <w:rsid w:val="00AE266F"/>
    <w:rsid w:val="00AE3E7E"/>
    <w:rsid w:val="00AE49F2"/>
    <w:rsid w:val="00AE5410"/>
    <w:rsid w:val="00AE5DDA"/>
    <w:rsid w:val="00AE7ABB"/>
    <w:rsid w:val="00AF1EDA"/>
    <w:rsid w:val="00AF2F87"/>
    <w:rsid w:val="00AF628B"/>
    <w:rsid w:val="00AF6856"/>
    <w:rsid w:val="00AF7F49"/>
    <w:rsid w:val="00B0051A"/>
    <w:rsid w:val="00B036AE"/>
    <w:rsid w:val="00B05598"/>
    <w:rsid w:val="00B07D0C"/>
    <w:rsid w:val="00B13163"/>
    <w:rsid w:val="00B13E33"/>
    <w:rsid w:val="00B155C8"/>
    <w:rsid w:val="00B210A6"/>
    <w:rsid w:val="00B21F99"/>
    <w:rsid w:val="00B21FDE"/>
    <w:rsid w:val="00B22CF4"/>
    <w:rsid w:val="00B231F7"/>
    <w:rsid w:val="00B24A5B"/>
    <w:rsid w:val="00B2787E"/>
    <w:rsid w:val="00B31591"/>
    <w:rsid w:val="00B36951"/>
    <w:rsid w:val="00B36A44"/>
    <w:rsid w:val="00B36B6C"/>
    <w:rsid w:val="00B37341"/>
    <w:rsid w:val="00B374A9"/>
    <w:rsid w:val="00B40FCD"/>
    <w:rsid w:val="00B41203"/>
    <w:rsid w:val="00B41569"/>
    <w:rsid w:val="00B43954"/>
    <w:rsid w:val="00B441EE"/>
    <w:rsid w:val="00B44E2D"/>
    <w:rsid w:val="00B4763F"/>
    <w:rsid w:val="00B51640"/>
    <w:rsid w:val="00B521B0"/>
    <w:rsid w:val="00B53DC7"/>
    <w:rsid w:val="00B63BF7"/>
    <w:rsid w:val="00B64330"/>
    <w:rsid w:val="00B67642"/>
    <w:rsid w:val="00B70AAD"/>
    <w:rsid w:val="00B71D77"/>
    <w:rsid w:val="00B721F7"/>
    <w:rsid w:val="00B735D2"/>
    <w:rsid w:val="00B761F1"/>
    <w:rsid w:val="00B8018D"/>
    <w:rsid w:val="00B80BE2"/>
    <w:rsid w:val="00B80D19"/>
    <w:rsid w:val="00B80ED9"/>
    <w:rsid w:val="00B840C0"/>
    <w:rsid w:val="00B86FF7"/>
    <w:rsid w:val="00B87219"/>
    <w:rsid w:val="00B94486"/>
    <w:rsid w:val="00B960C9"/>
    <w:rsid w:val="00BA08B6"/>
    <w:rsid w:val="00BA0D79"/>
    <w:rsid w:val="00BA2FDC"/>
    <w:rsid w:val="00BA3405"/>
    <w:rsid w:val="00BA5CF5"/>
    <w:rsid w:val="00BA659A"/>
    <w:rsid w:val="00BB0BB8"/>
    <w:rsid w:val="00BB1D14"/>
    <w:rsid w:val="00BB6862"/>
    <w:rsid w:val="00BB7E89"/>
    <w:rsid w:val="00BC16A6"/>
    <w:rsid w:val="00BC17A6"/>
    <w:rsid w:val="00BC21C9"/>
    <w:rsid w:val="00BC2B9B"/>
    <w:rsid w:val="00BC3852"/>
    <w:rsid w:val="00BC4571"/>
    <w:rsid w:val="00BC54D7"/>
    <w:rsid w:val="00BD0416"/>
    <w:rsid w:val="00BD3A71"/>
    <w:rsid w:val="00BD5F96"/>
    <w:rsid w:val="00BD79E0"/>
    <w:rsid w:val="00BE01F2"/>
    <w:rsid w:val="00BE4E6F"/>
    <w:rsid w:val="00BE607E"/>
    <w:rsid w:val="00BE6C3E"/>
    <w:rsid w:val="00BF06A8"/>
    <w:rsid w:val="00BF08DD"/>
    <w:rsid w:val="00BF1B0B"/>
    <w:rsid w:val="00BF406D"/>
    <w:rsid w:val="00BF45CC"/>
    <w:rsid w:val="00BF506A"/>
    <w:rsid w:val="00BF7183"/>
    <w:rsid w:val="00C00E47"/>
    <w:rsid w:val="00C021E3"/>
    <w:rsid w:val="00C028EB"/>
    <w:rsid w:val="00C02B7E"/>
    <w:rsid w:val="00C04335"/>
    <w:rsid w:val="00C128D1"/>
    <w:rsid w:val="00C15FCA"/>
    <w:rsid w:val="00C16D98"/>
    <w:rsid w:val="00C21DEA"/>
    <w:rsid w:val="00C22549"/>
    <w:rsid w:val="00C2409B"/>
    <w:rsid w:val="00C250B0"/>
    <w:rsid w:val="00C2523D"/>
    <w:rsid w:val="00C272F7"/>
    <w:rsid w:val="00C33185"/>
    <w:rsid w:val="00C33E9F"/>
    <w:rsid w:val="00C34C13"/>
    <w:rsid w:val="00C40544"/>
    <w:rsid w:val="00C40AA3"/>
    <w:rsid w:val="00C428DA"/>
    <w:rsid w:val="00C42B5A"/>
    <w:rsid w:val="00C43D5C"/>
    <w:rsid w:val="00C43D75"/>
    <w:rsid w:val="00C44501"/>
    <w:rsid w:val="00C450FF"/>
    <w:rsid w:val="00C46239"/>
    <w:rsid w:val="00C478E9"/>
    <w:rsid w:val="00C501F2"/>
    <w:rsid w:val="00C5522C"/>
    <w:rsid w:val="00C60C1B"/>
    <w:rsid w:val="00C64F8C"/>
    <w:rsid w:val="00C70694"/>
    <w:rsid w:val="00C712B1"/>
    <w:rsid w:val="00C722B4"/>
    <w:rsid w:val="00C72BDC"/>
    <w:rsid w:val="00C74454"/>
    <w:rsid w:val="00C74E18"/>
    <w:rsid w:val="00C751A6"/>
    <w:rsid w:val="00C77210"/>
    <w:rsid w:val="00C80C2F"/>
    <w:rsid w:val="00C80CCC"/>
    <w:rsid w:val="00C815BB"/>
    <w:rsid w:val="00C81750"/>
    <w:rsid w:val="00C82AA0"/>
    <w:rsid w:val="00C834C9"/>
    <w:rsid w:val="00C83555"/>
    <w:rsid w:val="00C84769"/>
    <w:rsid w:val="00C85368"/>
    <w:rsid w:val="00C85974"/>
    <w:rsid w:val="00C86314"/>
    <w:rsid w:val="00C867E7"/>
    <w:rsid w:val="00C86904"/>
    <w:rsid w:val="00C903D1"/>
    <w:rsid w:val="00C90E2B"/>
    <w:rsid w:val="00C926D6"/>
    <w:rsid w:val="00C973E4"/>
    <w:rsid w:val="00CA3020"/>
    <w:rsid w:val="00CA3F80"/>
    <w:rsid w:val="00CA5FEC"/>
    <w:rsid w:val="00CA6D44"/>
    <w:rsid w:val="00CA780A"/>
    <w:rsid w:val="00CB094B"/>
    <w:rsid w:val="00CB131E"/>
    <w:rsid w:val="00CB70A6"/>
    <w:rsid w:val="00CC02B1"/>
    <w:rsid w:val="00CC354E"/>
    <w:rsid w:val="00CC624F"/>
    <w:rsid w:val="00CD0CFF"/>
    <w:rsid w:val="00CE0076"/>
    <w:rsid w:val="00CE0C3E"/>
    <w:rsid w:val="00CE125C"/>
    <w:rsid w:val="00CE285C"/>
    <w:rsid w:val="00CE3312"/>
    <w:rsid w:val="00CE61A0"/>
    <w:rsid w:val="00CF0304"/>
    <w:rsid w:val="00CF0EDB"/>
    <w:rsid w:val="00CF2EE6"/>
    <w:rsid w:val="00CF2F96"/>
    <w:rsid w:val="00CF32A1"/>
    <w:rsid w:val="00CF3318"/>
    <w:rsid w:val="00CF3DA2"/>
    <w:rsid w:val="00CF48C8"/>
    <w:rsid w:val="00CF4EAC"/>
    <w:rsid w:val="00CF5E73"/>
    <w:rsid w:val="00CF5EB7"/>
    <w:rsid w:val="00CF6D0D"/>
    <w:rsid w:val="00D00F43"/>
    <w:rsid w:val="00D02248"/>
    <w:rsid w:val="00D050F6"/>
    <w:rsid w:val="00D1055D"/>
    <w:rsid w:val="00D1151B"/>
    <w:rsid w:val="00D121F9"/>
    <w:rsid w:val="00D1224D"/>
    <w:rsid w:val="00D16387"/>
    <w:rsid w:val="00D17C27"/>
    <w:rsid w:val="00D20D37"/>
    <w:rsid w:val="00D21284"/>
    <w:rsid w:val="00D2252D"/>
    <w:rsid w:val="00D226F1"/>
    <w:rsid w:val="00D22CE8"/>
    <w:rsid w:val="00D22EC9"/>
    <w:rsid w:val="00D23237"/>
    <w:rsid w:val="00D2337D"/>
    <w:rsid w:val="00D244D1"/>
    <w:rsid w:val="00D25AAB"/>
    <w:rsid w:val="00D3007F"/>
    <w:rsid w:val="00D301A6"/>
    <w:rsid w:val="00D3232E"/>
    <w:rsid w:val="00D33625"/>
    <w:rsid w:val="00D34588"/>
    <w:rsid w:val="00D40917"/>
    <w:rsid w:val="00D42963"/>
    <w:rsid w:val="00D4400E"/>
    <w:rsid w:val="00D444C9"/>
    <w:rsid w:val="00D51C25"/>
    <w:rsid w:val="00D528D8"/>
    <w:rsid w:val="00D53CEF"/>
    <w:rsid w:val="00D551F0"/>
    <w:rsid w:val="00D61797"/>
    <w:rsid w:val="00D61A28"/>
    <w:rsid w:val="00D6329B"/>
    <w:rsid w:val="00D65DB9"/>
    <w:rsid w:val="00D666E9"/>
    <w:rsid w:val="00D73674"/>
    <w:rsid w:val="00D73707"/>
    <w:rsid w:val="00D73AA1"/>
    <w:rsid w:val="00D745D7"/>
    <w:rsid w:val="00D74E84"/>
    <w:rsid w:val="00D75B61"/>
    <w:rsid w:val="00D7751B"/>
    <w:rsid w:val="00D77EC3"/>
    <w:rsid w:val="00D8340F"/>
    <w:rsid w:val="00D85316"/>
    <w:rsid w:val="00D85BCE"/>
    <w:rsid w:val="00D85F18"/>
    <w:rsid w:val="00D86040"/>
    <w:rsid w:val="00D913E8"/>
    <w:rsid w:val="00D914E8"/>
    <w:rsid w:val="00D91927"/>
    <w:rsid w:val="00D921DD"/>
    <w:rsid w:val="00D94D69"/>
    <w:rsid w:val="00D95240"/>
    <w:rsid w:val="00D96021"/>
    <w:rsid w:val="00DA1FE7"/>
    <w:rsid w:val="00DA4618"/>
    <w:rsid w:val="00DA4798"/>
    <w:rsid w:val="00DA57CA"/>
    <w:rsid w:val="00DB19E5"/>
    <w:rsid w:val="00DB230F"/>
    <w:rsid w:val="00DB6098"/>
    <w:rsid w:val="00DB67BB"/>
    <w:rsid w:val="00DB7F9D"/>
    <w:rsid w:val="00DC36E5"/>
    <w:rsid w:val="00DC4C6E"/>
    <w:rsid w:val="00DC4F0E"/>
    <w:rsid w:val="00DC6F82"/>
    <w:rsid w:val="00DC7E25"/>
    <w:rsid w:val="00DD03EE"/>
    <w:rsid w:val="00DD07AF"/>
    <w:rsid w:val="00DD110D"/>
    <w:rsid w:val="00DD1231"/>
    <w:rsid w:val="00DD18A5"/>
    <w:rsid w:val="00DD2EF4"/>
    <w:rsid w:val="00DD47E0"/>
    <w:rsid w:val="00DD51AF"/>
    <w:rsid w:val="00DE052D"/>
    <w:rsid w:val="00DE0A10"/>
    <w:rsid w:val="00DE17AA"/>
    <w:rsid w:val="00DE1D55"/>
    <w:rsid w:val="00DE3D68"/>
    <w:rsid w:val="00DE491F"/>
    <w:rsid w:val="00DE5732"/>
    <w:rsid w:val="00DE5E45"/>
    <w:rsid w:val="00DE7FAA"/>
    <w:rsid w:val="00DF2C96"/>
    <w:rsid w:val="00DF3E45"/>
    <w:rsid w:val="00DF5627"/>
    <w:rsid w:val="00DF6E05"/>
    <w:rsid w:val="00DF75CF"/>
    <w:rsid w:val="00DF7916"/>
    <w:rsid w:val="00E016FA"/>
    <w:rsid w:val="00E03DD1"/>
    <w:rsid w:val="00E067F6"/>
    <w:rsid w:val="00E10A30"/>
    <w:rsid w:val="00E13DA4"/>
    <w:rsid w:val="00E155AB"/>
    <w:rsid w:val="00E172D3"/>
    <w:rsid w:val="00E25927"/>
    <w:rsid w:val="00E262FF"/>
    <w:rsid w:val="00E27B17"/>
    <w:rsid w:val="00E305FB"/>
    <w:rsid w:val="00E30610"/>
    <w:rsid w:val="00E31A46"/>
    <w:rsid w:val="00E34AD1"/>
    <w:rsid w:val="00E37B83"/>
    <w:rsid w:val="00E37C0A"/>
    <w:rsid w:val="00E4046B"/>
    <w:rsid w:val="00E43C50"/>
    <w:rsid w:val="00E4488D"/>
    <w:rsid w:val="00E50F22"/>
    <w:rsid w:val="00E51D89"/>
    <w:rsid w:val="00E53BE9"/>
    <w:rsid w:val="00E54CCD"/>
    <w:rsid w:val="00E62AAD"/>
    <w:rsid w:val="00E65085"/>
    <w:rsid w:val="00E65589"/>
    <w:rsid w:val="00E67218"/>
    <w:rsid w:val="00E714BB"/>
    <w:rsid w:val="00E744C1"/>
    <w:rsid w:val="00E746B1"/>
    <w:rsid w:val="00E75098"/>
    <w:rsid w:val="00E77826"/>
    <w:rsid w:val="00E816D3"/>
    <w:rsid w:val="00E81FFA"/>
    <w:rsid w:val="00E84471"/>
    <w:rsid w:val="00E86631"/>
    <w:rsid w:val="00E869D1"/>
    <w:rsid w:val="00E9255E"/>
    <w:rsid w:val="00E9304A"/>
    <w:rsid w:val="00E94CA2"/>
    <w:rsid w:val="00E966C6"/>
    <w:rsid w:val="00EA1015"/>
    <w:rsid w:val="00EA33F2"/>
    <w:rsid w:val="00EA3977"/>
    <w:rsid w:val="00EA49F4"/>
    <w:rsid w:val="00EA531C"/>
    <w:rsid w:val="00EB0194"/>
    <w:rsid w:val="00EB1D52"/>
    <w:rsid w:val="00EB3195"/>
    <w:rsid w:val="00EB3F22"/>
    <w:rsid w:val="00EB73B6"/>
    <w:rsid w:val="00EB7732"/>
    <w:rsid w:val="00EC12C2"/>
    <w:rsid w:val="00EC2324"/>
    <w:rsid w:val="00EC6566"/>
    <w:rsid w:val="00EC6771"/>
    <w:rsid w:val="00EC71BA"/>
    <w:rsid w:val="00ED0323"/>
    <w:rsid w:val="00ED18B4"/>
    <w:rsid w:val="00ED72DE"/>
    <w:rsid w:val="00EE0C74"/>
    <w:rsid w:val="00EE16A1"/>
    <w:rsid w:val="00EE3094"/>
    <w:rsid w:val="00EE4AA4"/>
    <w:rsid w:val="00EE4DAE"/>
    <w:rsid w:val="00EE513C"/>
    <w:rsid w:val="00EE6962"/>
    <w:rsid w:val="00EE7F41"/>
    <w:rsid w:val="00EF0EFD"/>
    <w:rsid w:val="00EF1D2B"/>
    <w:rsid w:val="00EF33A8"/>
    <w:rsid w:val="00EF374E"/>
    <w:rsid w:val="00EF4E25"/>
    <w:rsid w:val="00EF5E83"/>
    <w:rsid w:val="00EF75B2"/>
    <w:rsid w:val="00F01EE4"/>
    <w:rsid w:val="00F034D7"/>
    <w:rsid w:val="00F0563D"/>
    <w:rsid w:val="00F125E9"/>
    <w:rsid w:val="00F15746"/>
    <w:rsid w:val="00F167C8"/>
    <w:rsid w:val="00F222E9"/>
    <w:rsid w:val="00F22345"/>
    <w:rsid w:val="00F2417D"/>
    <w:rsid w:val="00F25796"/>
    <w:rsid w:val="00F25A1F"/>
    <w:rsid w:val="00F25CFD"/>
    <w:rsid w:val="00F25EC9"/>
    <w:rsid w:val="00F270B8"/>
    <w:rsid w:val="00F278A0"/>
    <w:rsid w:val="00F30926"/>
    <w:rsid w:val="00F30FAB"/>
    <w:rsid w:val="00F31B0F"/>
    <w:rsid w:val="00F366EC"/>
    <w:rsid w:val="00F36A3E"/>
    <w:rsid w:val="00F43308"/>
    <w:rsid w:val="00F478BE"/>
    <w:rsid w:val="00F5001F"/>
    <w:rsid w:val="00F50927"/>
    <w:rsid w:val="00F515D5"/>
    <w:rsid w:val="00F51D14"/>
    <w:rsid w:val="00F5250D"/>
    <w:rsid w:val="00F5281C"/>
    <w:rsid w:val="00F54BED"/>
    <w:rsid w:val="00F57560"/>
    <w:rsid w:val="00F57ADA"/>
    <w:rsid w:val="00F66680"/>
    <w:rsid w:val="00F66C7C"/>
    <w:rsid w:val="00F67CE0"/>
    <w:rsid w:val="00F70657"/>
    <w:rsid w:val="00F714CA"/>
    <w:rsid w:val="00F734D8"/>
    <w:rsid w:val="00F73643"/>
    <w:rsid w:val="00F755F7"/>
    <w:rsid w:val="00F80FAD"/>
    <w:rsid w:val="00F81624"/>
    <w:rsid w:val="00F835E0"/>
    <w:rsid w:val="00F85B5D"/>
    <w:rsid w:val="00F87FB6"/>
    <w:rsid w:val="00F91689"/>
    <w:rsid w:val="00F91906"/>
    <w:rsid w:val="00F91A16"/>
    <w:rsid w:val="00F94A2A"/>
    <w:rsid w:val="00F94D02"/>
    <w:rsid w:val="00F95795"/>
    <w:rsid w:val="00F96A48"/>
    <w:rsid w:val="00FA13EE"/>
    <w:rsid w:val="00FA6674"/>
    <w:rsid w:val="00FB0963"/>
    <w:rsid w:val="00FB0BFE"/>
    <w:rsid w:val="00FB3F0F"/>
    <w:rsid w:val="00FB4EAD"/>
    <w:rsid w:val="00FC3588"/>
    <w:rsid w:val="00FD37E7"/>
    <w:rsid w:val="00FD39F7"/>
    <w:rsid w:val="00FE015D"/>
    <w:rsid w:val="00FE0341"/>
    <w:rsid w:val="00FE1C43"/>
    <w:rsid w:val="00FE3A17"/>
    <w:rsid w:val="00FE4C39"/>
    <w:rsid w:val="00FE533F"/>
    <w:rsid w:val="00FF1762"/>
    <w:rsid w:val="00FF1A61"/>
    <w:rsid w:val="00FF2475"/>
    <w:rsid w:val="00FF3879"/>
    <w:rsid w:val="00FF4630"/>
    <w:rsid w:val="00FF5F53"/>
    <w:rsid w:val="00FF646E"/>
    <w:rsid w:val="00FF6588"/>
    <w:rsid w:val="00FF68E3"/>
    <w:rsid w:val="00FF7B67"/>
    <w:rsid w:val="011F399C"/>
    <w:rsid w:val="012832B8"/>
    <w:rsid w:val="01792C73"/>
    <w:rsid w:val="01882B8F"/>
    <w:rsid w:val="01DD3C4D"/>
    <w:rsid w:val="023E702F"/>
    <w:rsid w:val="026B25F4"/>
    <w:rsid w:val="02A35910"/>
    <w:rsid w:val="02D665DB"/>
    <w:rsid w:val="02DE116F"/>
    <w:rsid w:val="02F53218"/>
    <w:rsid w:val="0313544C"/>
    <w:rsid w:val="03215B57"/>
    <w:rsid w:val="03367AB9"/>
    <w:rsid w:val="03C40766"/>
    <w:rsid w:val="03CB65F3"/>
    <w:rsid w:val="03F61AA6"/>
    <w:rsid w:val="041C1B32"/>
    <w:rsid w:val="04221DEB"/>
    <w:rsid w:val="045D1075"/>
    <w:rsid w:val="047166C0"/>
    <w:rsid w:val="047D5273"/>
    <w:rsid w:val="049038B6"/>
    <w:rsid w:val="04932916"/>
    <w:rsid w:val="049747E0"/>
    <w:rsid w:val="04D15DEC"/>
    <w:rsid w:val="04EC40A6"/>
    <w:rsid w:val="04FE4606"/>
    <w:rsid w:val="051200B1"/>
    <w:rsid w:val="0526590B"/>
    <w:rsid w:val="05511382"/>
    <w:rsid w:val="056F72B2"/>
    <w:rsid w:val="05B66C8F"/>
    <w:rsid w:val="05EFB91C"/>
    <w:rsid w:val="06255BC2"/>
    <w:rsid w:val="065D451E"/>
    <w:rsid w:val="067B3A34"/>
    <w:rsid w:val="067C15A6"/>
    <w:rsid w:val="06CB6FBB"/>
    <w:rsid w:val="07247C28"/>
    <w:rsid w:val="07267620"/>
    <w:rsid w:val="07416A2C"/>
    <w:rsid w:val="075E138C"/>
    <w:rsid w:val="07C80EFB"/>
    <w:rsid w:val="07DD3B34"/>
    <w:rsid w:val="08404F36"/>
    <w:rsid w:val="084E4B34"/>
    <w:rsid w:val="08732C15"/>
    <w:rsid w:val="08921BF9"/>
    <w:rsid w:val="08DB20D7"/>
    <w:rsid w:val="091F67FB"/>
    <w:rsid w:val="0922463B"/>
    <w:rsid w:val="094C2B51"/>
    <w:rsid w:val="09886B94"/>
    <w:rsid w:val="0A201DCE"/>
    <w:rsid w:val="0A3E7253"/>
    <w:rsid w:val="0A4A209B"/>
    <w:rsid w:val="0A945568"/>
    <w:rsid w:val="0AB81532"/>
    <w:rsid w:val="0AD86761"/>
    <w:rsid w:val="0AF31067"/>
    <w:rsid w:val="0B1315C7"/>
    <w:rsid w:val="0B1C57E6"/>
    <w:rsid w:val="0B2F6516"/>
    <w:rsid w:val="0B41524D"/>
    <w:rsid w:val="0B662F05"/>
    <w:rsid w:val="0B713153"/>
    <w:rsid w:val="0B7D7AE3"/>
    <w:rsid w:val="0B9B3DDB"/>
    <w:rsid w:val="0BA63302"/>
    <w:rsid w:val="0C970E9C"/>
    <w:rsid w:val="0CA27F6D"/>
    <w:rsid w:val="0CB952B6"/>
    <w:rsid w:val="0CBF15D6"/>
    <w:rsid w:val="0CC021A1"/>
    <w:rsid w:val="0CC80535"/>
    <w:rsid w:val="0CE75980"/>
    <w:rsid w:val="0CFA1B57"/>
    <w:rsid w:val="0D071B12"/>
    <w:rsid w:val="0D110C4F"/>
    <w:rsid w:val="0D332C5F"/>
    <w:rsid w:val="0D350DE1"/>
    <w:rsid w:val="0D662138"/>
    <w:rsid w:val="0D7F205C"/>
    <w:rsid w:val="0D991370"/>
    <w:rsid w:val="0DB735A4"/>
    <w:rsid w:val="0DC679A9"/>
    <w:rsid w:val="0DCE5ECF"/>
    <w:rsid w:val="0E1529C0"/>
    <w:rsid w:val="0E651252"/>
    <w:rsid w:val="0E72571D"/>
    <w:rsid w:val="0EA224A6"/>
    <w:rsid w:val="0F0521B8"/>
    <w:rsid w:val="0F323FC3"/>
    <w:rsid w:val="0F6C2778"/>
    <w:rsid w:val="0FA7374C"/>
    <w:rsid w:val="0FCB77DB"/>
    <w:rsid w:val="10157FD4"/>
    <w:rsid w:val="102D2243"/>
    <w:rsid w:val="106D43EE"/>
    <w:rsid w:val="10703EDE"/>
    <w:rsid w:val="1072498F"/>
    <w:rsid w:val="108005C5"/>
    <w:rsid w:val="10A65B52"/>
    <w:rsid w:val="10E24DDC"/>
    <w:rsid w:val="10EC7A09"/>
    <w:rsid w:val="10F37AA2"/>
    <w:rsid w:val="110967A7"/>
    <w:rsid w:val="112A22DF"/>
    <w:rsid w:val="116577BB"/>
    <w:rsid w:val="11853BCD"/>
    <w:rsid w:val="118C2F9A"/>
    <w:rsid w:val="118E0AC0"/>
    <w:rsid w:val="11B44789"/>
    <w:rsid w:val="11B9758D"/>
    <w:rsid w:val="11C70892"/>
    <w:rsid w:val="11EE155E"/>
    <w:rsid w:val="123C676E"/>
    <w:rsid w:val="1246139A"/>
    <w:rsid w:val="12535865"/>
    <w:rsid w:val="12543AB7"/>
    <w:rsid w:val="12654F67"/>
    <w:rsid w:val="127D1DEB"/>
    <w:rsid w:val="12AE7FE8"/>
    <w:rsid w:val="12D20E80"/>
    <w:rsid w:val="12F157AA"/>
    <w:rsid w:val="12FE1C75"/>
    <w:rsid w:val="13731CE9"/>
    <w:rsid w:val="13765CAF"/>
    <w:rsid w:val="13A57D44"/>
    <w:rsid w:val="13F9783B"/>
    <w:rsid w:val="13FC405A"/>
    <w:rsid w:val="14096B23"/>
    <w:rsid w:val="140C03C2"/>
    <w:rsid w:val="142851FC"/>
    <w:rsid w:val="14465682"/>
    <w:rsid w:val="14885C9A"/>
    <w:rsid w:val="14900FF3"/>
    <w:rsid w:val="14954DD6"/>
    <w:rsid w:val="14BB12B4"/>
    <w:rsid w:val="14D8664C"/>
    <w:rsid w:val="14F926F4"/>
    <w:rsid w:val="150258D5"/>
    <w:rsid w:val="15A64063"/>
    <w:rsid w:val="162D6A7B"/>
    <w:rsid w:val="163A7468"/>
    <w:rsid w:val="165322D8"/>
    <w:rsid w:val="166C0B57"/>
    <w:rsid w:val="16BD3DEC"/>
    <w:rsid w:val="172872C1"/>
    <w:rsid w:val="17633AA3"/>
    <w:rsid w:val="17CC0594"/>
    <w:rsid w:val="18001FEB"/>
    <w:rsid w:val="18422604"/>
    <w:rsid w:val="18C16322"/>
    <w:rsid w:val="18FE477D"/>
    <w:rsid w:val="19002AD9"/>
    <w:rsid w:val="190873AA"/>
    <w:rsid w:val="192561AE"/>
    <w:rsid w:val="194859F8"/>
    <w:rsid w:val="19FC3DB8"/>
    <w:rsid w:val="1A250A20"/>
    <w:rsid w:val="1A253F8B"/>
    <w:rsid w:val="1A2B77F4"/>
    <w:rsid w:val="1A3D3083"/>
    <w:rsid w:val="1A662D91"/>
    <w:rsid w:val="1A697AC7"/>
    <w:rsid w:val="1A766595"/>
    <w:rsid w:val="1AFF658A"/>
    <w:rsid w:val="1B2563A1"/>
    <w:rsid w:val="1B3B1CD0"/>
    <w:rsid w:val="1B5C578B"/>
    <w:rsid w:val="1B654F02"/>
    <w:rsid w:val="1B6D1746"/>
    <w:rsid w:val="1B8B54D3"/>
    <w:rsid w:val="1BA96F4D"/>
    <w:rsid w:val="1BAE1444"/>
    <w:rsid w:val="1C166281"/>
    <w:rsid w:val="1C4F2D4E"/>
    <w:rsid w:val="1C9B1C69"/>
    <w:rsid w:val="1D4D7A81"/>
    <w:rsid w:val="1DA2332D"/>
    <w:rsid w:val="1DB676AA"/>
    <w:rsid w:val="1DE657E0"/>
    <w:rsid w:val="1E062289"/>
    <w:rsid w:val="1E360515"/>
    <w:rsid w:val="1E390005"/>
    <w:rsid w:val="1E62514F"/>
    <w:rsid w:val="1E6C3F37"/>
    <w:rsid w:val="1E7E63E6"/>
    <w:rsid w:val="1E9D0B42"/>
    <w:rsid w:val="1ECF7ACA"/>
    <w:rsid w:val="1EDF4EBF"/>
    <w:rsid w:val="1F106FB8"/>
    <w:rsid w:val="1F226CEB"/>
    <w:rsid w:val="1F2C426C"/>
    <w:rsid w:val="1F7F28C1"/>
    <w:rsid w:val="1FF468DA"/>
    <w:rsid w:val="20012DA5"/>
    <w:rsid w:val="20036F56"/>
    <w:rsid w:val="20604C45"/>
    <w:rsid w:val="20694DE8"/>
    <w:rsid w:val="2080016D"/>
    <w:rsid w:val="20CE0ED9"/>
    <w:rsid w:val="20ED01BD"/>
    <w:rsid w:val="20F01F24"/>
    <w:rsid w:val="21132D32"/>
    <w:rsid w:val="211865F8"/>
    <w:rsid w:val="21311468"/>
    <w:rsid w:val="2177331E"/>
    <w:rsid w:val="218F698E"/>
    <w:rsid w:val="21FE7119"/>
    <w:rsid w:val="220108E5"/>
    <w:rsid w:val="22430755"/>
    <w:rsid w:val="226B3178"/>
    <w:rsid w:val="22871333"/>
    <w:rsid w:val="22B12860"/>
    <w:rsid w:val="23111551"/>
    <w:rsid w:val="2321448A"/>
    <w:rsid w:val="233D2C1D"/>
    <w:rsid w:val="234C72CF"/>
    <w:rsid w:val="23531D85"/>
    <w:rsid w:val="2375767F"/>
    <w:rsid w:val="23782476"/>
    <w:rsid w:val="2382592A"/>
    <w:rsid w:val="23BD3FB1"/>
    <w:rsid w:val="23C27922"/>
    <w:rsid w:val="23D33560"/>
    <w:rsid w:val="23E30357"/>
    <w:rsid w:val="24107652"/>
    <w:rsid w:val="241340B5"/>
    <w:rsid w:val="24215BC9"/>
    <w:rsid w:val="24253506"/>
    <w:rsid w:val="24741D97"/>
    <w:rsid w:val="24945F95"/>
    <w:rsid w:val="250368FF"/>
    <w:rsid w:val="25055C02"/>
    <w:rsid w:val="2562372C"/>
    <w:rsid w:val="256A4F48"/>
    <w:rsid w:val="25B87F86"/>
    <w:rsid w:val="25D074A1"/>
    <w:rsid w:val="25E1345C"/>
    <w:rsid w:val="25F52DD9"/>
    <w:rsid w:val="263B7010"/>
    <w:rsid w:val="263E7FDC"/>
    <w:rsid w:val="263F0183"/>
    <w:rsid w:val="26461511"/>
    <w:rsid w:val="267547A3"/>
    <w:rsid w:val="269756C8"/>
    <w:rsid w:val="26B24DF9"/>
    <w:rsid w:val="26F34F60"/>
    <w:rsid w:val="26F95F76"/>
    <w:rsid w:val="27010436"/>
    <w:rsid w:val="270C2F31"/>
    <w:rsid w:val="27152FC5"/>
    <w:rsid w:val="27271343"/>
    <w:rsid w:val="27897907"/>
    <w:rsid w:val="27BF5A1F"/>
    <w:rsid w:val="27D33279"/>
    <w:rsid w:val="27E14314"/>
    <w:rsid w:val="27E9484A"/>
    <w:rsid w:val="27FA7019"/>
    <w:rsid w:val="28177A18"/>
    <w:rsid w:val="2858684C"/>
    <w:rsid w:val="28706D19"/>
    <w:rsid w:val="287C121A"/>
    <w:rsid w:val="28D93D8C"/>
    <w:rsid w:val="28DC43AF"/>
    <w:rsid w:val="2946465E"/>
    <w:rsid w:val="29A619E2"/>
    <w:rsid w:val="29DA08EE"/>
    <w:rsid w:val="2A1A6F3D"/>
    <w:rsid w:val="2A1E2CFD"/>
    <w:rsid w:val="2A461AE0"/>
    <w:rsid w:val="2A500BB0"/>
    <w:rsid w:val="2A68619B"/>
    <w:rsid w:val="2AB574AD"/>
    <w:rsid w:val="2ADC0696"/>
    <w:rsid w:val="2AE01F34"/>
    <w:rsid w:val="2AE632C3"/>
    <w:rsid w:val="2B4C7243"/>
    <w:rsid w:val="2B585F6F"/>
    <w:rsid w:val="2B99092D"/>
    <w:rsid w:val="2BAF21A8"/>
    <w:rsid w:val="2C026132"/>
    <w:rsid w:val="2C3818FC"/>
    <w:rsid w:val="2C7D1A05"/>
    <w:rsid w:val="2CA3146B"/>
    <w:rsid w:val="2CC463F7"/>
    <w:rsid w:val="2D1C121E"/>
    <w:rsid w:val="2D2D342B"/>
    <w:rsid w:val="2D7D515B"/>
    <w:rsid w:val="2D8F19F0"/>
    <w:rsid w:val="2DA36280"/>
    <w:rsid w:val="2DAB762F"/>
    <w:rsid w:val="2DEC0BF0"/>
    <w:rsid w:val="2E143FF8"/>
    <w:rsid w:val="2E933762"/>
    <w:rsid w:val="2E9848D4"/>
    <w:rsid w:val="2F0361F1"/>
    <w:rsid w:val="2F081A5A"/>
    <w:rsid w:val="2F2B74F6"/>
    <w:rsid w:val="2F370FF0"/>
    <w:rsid w:val="2F432A92"/>
    <w:rsid w:val="2F535D43"/>
    <w:rsid w:val="2F815B64"/>
    <w:rsid w:val="2FE36023"/>
    <w:rsid w:val="2FED25EB"/>
    <w:rsid w:val="302B515F"/>
    <w:rsid w:val="30436BF9"/>
    <w:rsid w:val="30DC319E"/>
    <w:rsid w:val="31327262"/>
    <w:rsid w:val="314142BA"/>
    <w:rsid w:val="3163741B"/>
    <w:rsid w:val="31767194"/>
    <w:rsid w:val="318B7884"/>
    <w:rsid w:val="3225683B"/>
    <w:rsid w:val="32335040"/>
    <w:rsid w:val="32635F84"/>
    <w:rsid w:val="328C602E"/>
    <w:rsid w:val="32E0684A"/>
    <w:rsid w:val="32FF3174"/>
    <w:rsid w:val="332D5F33"/>
    <w:rsid w:val="33323549"/>
    <w:rsid w:val="333831CC"/>
    <w:rsid w:val="333C6C4B"/>
    <w:rsid w:val="335F3C12"/>
    <w:rsid w:val="336B6A5B"/>
    <w:rsid w:val="33A1247D"/>
    <w:rsid w:val="33A65CE5"/>
    <w:rsid w:val="33BB353F"/>
    <w:rsid w:val="34034EE6"/>
    <w:rsid w:val="3406425D"/>
    <w:rsid w:val="34237336"/>
    <w:rsid w:val="342F2F08"/>
    <w:rsid w:val="345319C9"/>
    <w:rsid w:val="34945C2C"/>
    <w:rsid w:val="34D80120"/>
    <w:rsid w:val="35154937"/>
    <w:rsid w:val="35431A3E"/>
    <w:rsid w:val="357E2A76"/>
    <w:rsid w:val="358F666F"/>
    <w:rsid w:val="35C44201"/>
    <w:rsid w:val="35EB79DF"/>
    <w:rsid w:val="360C5819"/>
    <w:rsid w:val="361A4C88"/>
    <w:rsid w:val="36257395"/>
    <w:rsid w:val="36472EEF"/>
    <w:rsid w:val="371371EE"/>
    <w:rsid w:val="372C4753"/>
    <w:rsid w:val="37492C0F"/>
    <w:rsid w:val="37785DC5"/>
    <w:rsid w:val="37C004C6"/>
    <w:rsid w:val="37E1109A"/>
    <w:rsid w:val="37E42938"/>
    <w:rsid w:val="37FE1C4C"/>
    <w:rsid w:val="38033706"/>
    <w:rsid w:val="3856132B"/>
    <w:rsid w:val="387D5266"/>
    <w:rsid w:val="388365F5"/>
    <w:rsid w:val="38D11752"/>
    <w:rsid w:val="391907BB"/>
    <w:rsid w:val="393957B3"/>
    <w:rsid w:val="39754190"/>
    <w:rsid w:val="39F96B6F"/>
    <w:rsid w:val="3A445910"/>
    <w:rsid w:val="3A887EF3"/>
    <w:rsid w:val="3A946897"/>
    <w:rsid w:val="3AC90ED8"/>
    <w:rsid w:val="3AD44EE6"/>
    <w:rsid w:val="3ADD4CEE"/>
    <w:rsid w:val="3AF17846"/>
    <w:rsid w:val="3B236E7D"/>
    <w:rsid w:val="3B7355C3"/>
    <w:rsid w:val="3B7C5A9B"/>
    <w:rsid w:val="3B822B94"/>
    <w:rsid w:val="3BB50055"/>
    <w:rsid w:val="3BD57167"/>
    <w:rsid w:val="3BE178BA"/>
    <w:rsid w:val="3BF70E8C"/>
    <w:rsid w:val="3BFF2436"/>
    <w:rsid w:val="3C027831"/>
    <w:rsid w:val="3C1812DC"/>
    <w:rsid w:val="3C2D2B00"/>
    <w:rsid w:val="3C4620A3"/>
    <w:rsid w:val="3C5E2252"/>
    <w:rsid w:val="3C601127"/>
    <w:rsid w:val="3C6F449D"/>
    <w:rsid w:val="3C7B0826"/>
    <w:rsid w:val="3C852F62"/>
    <w:rsid w:val="3CAD511A"/>
    <w:rsid w:val="3CAF5C0A"/>
    <w:rsid w:val="3CB7061B"/>
    <w:rsid w:val="3CDC62D4"/>
    <w:rsid w:val="3D0D2931"/>
    <w:rsid w:val="3D281519"/>
    <w:rsid w:val="3D4C16AB"/>
    <w:rsid w:val="3D566086"/>
    <w:rsid w:val="3D695DB9"/>
    <w:rsid w:val="3DAE5EC2"/>
    <w:rsid w:val="3DB45CB0"/>
    <w:rsid w:val="3DEA67CE"/>
    <w:rsid w:val="3DF11F8B"/>
    <w:rsid w:val="3E0A4B88"/>
    <w:rsid w:val="3E3F2FBE"/>
    <w:rsid w:val="3E5C591E"/>
    <w:rsid w:val="3EE871B2"/>
    <w:rsid w:val="3EF300D5"/>
    <w:rsid w:val="3FD37E62"/>
    <w:rsid w:val="3FF33334"/>
    <w:rsid w:val="3FF468EF"/>
    <w:rsid w:val="401E6F94"/>
    <w:rsid w:val="40302BBE"/>
    <w:rsid w:val="4032716E"/>
    <w:rsid w:val="4099658E"/>
    <w:rsid w:val="41083B3B"/>
    <w:rsid w:val="410C5AAF"/>
    <w:rsid w:val="41175B2C"/>
    <w:rsid w:val="41214BFD"/>
    <w:rsid w:val="412D5350"/>
    <w:rsid w:val="412E1B74"/>
    <w:rsid w:val="41390199"/>
    <w:rsid w:val="41AA2E44"/>
    <w:rsid w:val="41C21F3C"/>
    <w:rsid w:val="41DA2951"/>
    <w:rsid w:val="41F03808"/>
    <w:rsid w:val="4217002F"/>
    <w:rsid w:val="42436E81"/>
    <w:rsid w:val="42440BA3"/>
    <w:rsid w:val="42492C9C"/>
    <w:rsid w:val="4258464E"/>
    <w:rsid w:val="42843695"/>
    <w:rsid w:val="42996133"/>
    <w:rsid w:val="42B92BE1"/>
    <w:rsid w:val="42D014F6"/>
    <w:rsid w:val="42D75573"/>
    <w:rsid w:val="42DF08CC"/>
    <w:rsid w:val="42FC057E"/>
    <w:rsid w:val="432858EA"/>
    <w:rsid w:val="433C5D1E"/>
    <w:rsid w:val="434935EC"/>
    <w:rsid w:val="436B16EB"/>
    <w:rsid w:val="43A0341B"/>
    <w:rsid w:val="43D0335B"/>
    <w:rsid w:val="43D917BF"/>
    <w:rsid w:val="450C4F8D"/>
    <w:rsid w:val="45390767"/>
    <w:rsid w:val="453F0A38"/>
    <w:rsid w:val="457C4AF8"/>
    <w:rsid w:val="45FA46AB"/>
    <w:rsid w:val="46435C2A"/>
    <w:rsid w:val="466A61A5"/>
    <w:rsid w:val="468E063F"/>
    <w:rsid w:val="469B2D5C"/>
    <w:rsid w:val="46BA783C"/>
    <w:rsid w:val="46C44060"/>
    <w:rsid w:val="47376F0D"/>
    <w:rsid w:val="47503B46"/>
    <w:rsid w:val="47622976"/>
    <w:rsid w:val="47B71E17"/>
    <w:rsid w:val="47F8428F"/>
    <w:rsid w:val="48627FD5"/>
    <w:rsid w:val="487811A4"/>
    <w:rsid w:val="487D6BBD"/>
    <w:rsid w:val="488D7A30"/>
    <w:rsid w:val="48A14898"/>
    <w:rsid w:val="48BF71D5"/>
    <w:rsid w:val="48C01D3B"/>
    <w:rsid w:val="48CE566A"/>
    <w:rsid w:val="490948F4"/>
    <w:rsid w:val="493060D8"/>
    <w:rsid w:val="494732CE"/>
    <w:rsid w:val="49935F6C"/>
    <w:rsid w:val="49DB1DED"/>
    <w:rsid w:val="4A3F23D5"/>
    <w:rsid w:val="4A8B05E3"/>
    <w:rsid w:val="4A9621B8"/>
    <w:rsid w:val="4AA04DE4"/>
    <w:rsid w:val="4AB131AC"/>
    <w:rsid w:val="4AC259B4"/>
    <w:rsid w:val="4AC9433B"/>
    <w:rsid w:val="4AE47571"/>
    <w:rsid w:val="4AEA6060"/>
    <w:rsid w:val="4B0E61F2"/>
    <w:rsid w:val="4B2C48B7"/>
    <w:rsid w:val="4B954AB3"/>
    <w:rsid w:val="4BA102F5"/>
    <w:rsid w:val="4BA601D9"/>
    <w:rsid w:val="4BD35EE2"/>
    <w:rsid w:val="4BF03B4A"/>
    <w:rsid w:val="4C0E3674"/>
    <w:rsid w:val="4C101AF6"/>
    <w:rsid w:val="4C2973D6"/>
    <w:rsid w:val="4C4A661A"/>
    <w:rsid w:val="4C5109B1"/>
    <w:rsid w:val="4CB608EF"/>
    <w:rsid w:val="4CC23BA0"/>
    <w:rsid w:val="4CEC2091"/>
    <w:rsid w:val="4D0B0C3B"/>
    <w:rsid w:val="4D381304"/>
    <w:rsid w:val="4D5F2D35"/>
    <w:rsid w:val="4D616AAD"/>
    <w:rsid w:val="4D746B23"/>
    <w:rsid w:val="4D87403A"/>
    <w:rsid w:val="4D890CD7"/>
    <w:rsid w:val="4D956757"/>
    <w:rsid w:val="4DB83A45"/>
    <w:rsid w:val="4DEA4CF4"/>
    <w:rsid w:val="4E1647BA"/>
    <w:rsid w:val="4E3E6DEE"/>
    <w:rsid w:val="4EC20B78"/>
    <w:rsid w:val="4ED84B4D"/>
    <w:rsid w:val="4F18763F"/>
    <w:rsid w:val="4F3B17B2"/>
    <w:rsid w:val="4F8627FB"/>
    <w:rsid w:val="4FAD07A1"/>
    <w:rsid w:val="4FB37368"/>
    <w:rsid w:val="4FBE01E7"/>
    <w:rsid w:val="4FC72403"/>
    <w:rsid w:val="4FD0569C"/>
    <w:rsid w:val="4FE13ED5"/>
    <w:rsid w:val="4FFE6835"/>
    <w:rsid w:val="501F67AB"/>
    <w:rsid w:val="507C1E50"/>
    <w:rsid w:val="50834194"/>
    <w:rsid w:val="509947B0"/>
    <w:rsid w:val="50D55862"/>
    <w:rsid w:val="50D70E34"/>
    <w:rsid w:val="50E7551B"/>
    <w:rsid w:val="510F6820"/>
    <w:rsid w:val="516173DF"/>
    <w:rsid w:val="516C7D38"/>
    <w:rsid w:val="5176689F"/>
    <w:rsid w:val="518F1B39"/>
    <w:rsid w:val="519A258E"/>
    <w:rsid w:val="51A927D1"/>
    <w:rsid w:val="51AE7211"/>
    <w:rsid w:val="51B81CB4"/>
    <w:rsid w:val="5219601D"/>
    <w:rsid w:val="525E7A5F"/>
    <w:rsid w:val="52701540"/>
    <w:rsid w:val="528C660E"/>
    <w:rsid w:val="52A2028D"/>
    <w:rsid w:val="531B5950"/>
    <w:rsid w:val="532760A3"/>
    <w:rsid w:val="53456529"/>
    <w:rsid w:val="536A616D"/>
    <w:rsid w:val="537149A8"/>
    <w:rsid w:val="537B63EF"/>
    <w:rsid w:val="539D41E9"/>
    <w:rsid w:val="53F02939"/>
    <w:rsid w:val="53F5465F"/>
    <w:rsid w:val="53F6222B"/>
    <w:rsid w:val="545C060F"/>
    <w:rsid w:val="54A13C33"/>
    <w:rsid w:val="54FA62D1"/>
    <w:rsid w:val="55014B1F"/>
    <w:rsid w:val="5534401A"/>
    <w:rsid w:val="55683D3E"/>
    <w:rsid w:val="55711857"/>
    <w:rsid w:val="55B8624A"/>
    <w:rsid w:val="55CC2F32"/>
    <w:rsid w:val="55E55DA1"/>
    <w:rsid w:val="55F8151B"/>
    <w:rsid w:val="56261D2F"/>
    <w:rsid w:val="567C3576"/>
    <w:rsid w:val="56965632"/>
    <w:rsid w:val="56A0523F"/>
    <w:rsid w:val="56D2765B"/>
    <w:rsid w:val="56EC7006"/>
    <w:rsid w:val="570672F1"/>
    <w:rsid w:val="57541431"/>
    <w:rsid w:val="5765363E"/>
    <w:rsid w:val="57686C8A"/>
    <w:rsid w:val="57BF2D4E"/>
    <w:rsid w:val="57F56770"/>
    <w:rsid w:val="57FB365A"/>
    <w:rsid w:val="58262DCD"/>
    <w:rsid w:val="58B54151"/>
    <w:rsid w:val="591D4E3D"/>
    <w:rsid w:val="592A4241"/>
    <w:rsid w:val="596C2A06"/>
    <w:rsid w:val="598857AE"/>
    <w:rsid w:val="59C850B3"/>
    <w:rsid w:val="59CE22C7"/>
    <w:rsid w:val="59DE41A7"/>
    <w:rsid w:val="5A1E67F3"/>
    <w:rsid w:val="5A892FB5"/>
    <w:rsid w:val="5A9543EF"/>
    <w:rsid w:val="5AF22E3B"/>
    <w:rsid w:val="5B136F0D"/>
    <w:rsid w:val="5B790E99"/>
    <w:rsid w:val="5BBC1352"/>
    <w:rsid w:val="5BEC7E8A"/>
    <w:rsid w:val="5BED775E"/>
    <w:rsid w:val="5C1B42CB"/>
    <w:rsid w:val="5C515F3F"/>
    <w:rsid w:val="5CF54B1C"/>
    <w:rsid w:val="5CF8285E"/>
    <w:rsid w:val="5D1809DE"/>
    <w:rsid w:val="5D5C4B9B"/>
    <w:rsid w:val="5D8D2FA6"/>
    <w:rsid w:val="5E3D2C1E"/>
    <w:rsid w:val="5E6737F7"/>
    <w:rsid w:val="5E7D1CCE"/>
    <w:rsid w:val="5EDF1090"/>
    <w:rsid w:val="5EF13A09"/>
    <w:rsid w:val="5EFFC30E"/>
    <w:rsid w:val="5F261904"/>
    <w:rsid w:val="5F5B33A8"/>
    <w:rsid w:val="5FCB6D16"/>
    <w:rsid w:val="5FE01AB3"/>
    <w:rsid w:val="5FE03FD9"/>
    <w:rsid w:val="5FE148EF"/>
    <w:rsid w:val="5FEA0B84"/>
    <w:rsid w:val="5FFF39E3"/>
    <w:rsid w:val="5FFF541B"/>
    <w:rsid w:val="6025396A"/>
    <w:rsid w:val="60365E9C"/>
    <w:rsid w:val="604D3B75"/>
    <w:rsid w:val="60863BD5"/>
    <w:rsid w:val="60A206EB"/>
    <w:rsid w:val="60E90E3C"/>
    <w:rsid w:val="610522AD"/>
    <w:rsid w:val="611834CF"/>
    <w:rsid w:val="614222FA"/>
    <w:rsid w:val="61706422"/>
    <w:rsid w:val="61796CB2"/>
    <w:rsid w:val="617D547F"/>
    <w:rsid w:val="61D4389A"/>
    <w:rsid w:val="623600B0"/>
    <w:rsid w:val="6243011A"/>
    <w:rsid w:val="62487DE4"/>
    <w:rsid w:val="62571DD5"/>
    <w:rsid w:val="625C73EB"/>
    <w:rsid w:val="62756E7C"/>
    <w:rsid w:val="62A0377C"/>
    <w:rsid w:val="62A212A2"/>
    <w:rsid w:val="62CD32A3"/>
    <w:rsid w:val="63012BD5"/>
    <w:rsid w:val="634265E1"/>
    <w:rsid w:val="63513B34"/>
    <w:rsid w:val="6397692D"/>
    <w:rsid w:val="63AB4186"/>
    <w:rsid w:val="63DA5F02"/>
    <w:rsid w:val="64175CC0"/>
    <w:rsid w:val="641A3917"/>
    <w:rsid w:val="641E6966"/>
    <w:rsid w:val="64264155"/>
    <w:rsid w:val="643626DA"/>
    <w:rsid w:val="648D3A28"/>
    <w:rsid w:val="64A70DF2"/>
    <w:rsid w:val="64B13A1E"/>
    <w:rsid w:val="64BB6829"/>
    <w:rsid w:val="64F16511"/>
    <w:rsid w:val="655645C6"/>
    <w:rsid w:val="65841133"/>
    <w:rsid w:val="65C6454A"/>
    <w:rsid w:val="65DF0A5F"/>
    <w:rsid w:val="65F47905"/>
    <w:rsid w:val="65FF4EE6"/>
    <w:rsid w:val="66456B14"/>
    <w:rsid w:val="66740704"/>
    <w:rsid w:val="669453A6"/>
    <w:rsid w:val="66CF6AB4"/>
    <w:rsid w:val="67006EDF"/>
    <w:rsid w:val="674E7C4A"/>
    <w:rsid w:val="676F196F"/>
    <w:rsid w:val="67D77C40"/>
    <w:rsid w:val="68062788"/>
    <w:rsid w:val="684406CC"/>
    <w:rsid w:val="6855268F"/>
    <w:rsid w:val="685F19E3"/>
    <w:rsid w:val="68664B20"/>
    <w:rsid w:val="68DE6DAC"/>
    <w:rsid w:val="68E00D76"/>
    <w:rsid w:val="68F55EA4"/>
    <w:rsid w:val="6919689A"/>
    <w:rsid w:val="69D871E5"/>
    <w:rsid w:val="69EA7464"/>
    <w:rsid w:val="6A0B35DC"/>
    <w:rsid w:val="6A227AA1"/>
    <w:rsid w:val="6A4470E3"/>
    <w:rsid w:val="6A694D9B"/>
    <w:rsid w:val="6A7259FE"/>
    <w:rsid w:val="6A7A66A0"/>
    <w:rsid w:val="6A9736B6"/>
    <w:rsid w:val="6AA24A3C"/>
    <w:rsid w:val="6AF60265"/>
    <w:rsid w:val="6B533A81"/>
    <w:rsid w:val="6B785296"/>
    <w:rsid w:val="6BA57568"/>
    <w:rsid w:val="6BB362CE"/>
    <w:rsid w:val="6C0510DE"/>
    <w:rsid w:val="6C2B2B12"/>
    <w:rsid w:val="6C7F08A6"/>
    <w:rsid w:val="6C992E18"/>
    <w:rsid w:val="6CCD7863"/>
    <w:rsid w:val="6CFC1EF7"/>
    <w:rsid w:val="6D032F0F"/>
    <w:rsid w:val="6D1C1704"/>
    <w:rsid w:val="6D2521A1"/>
    <w:rsid w:val="6D2531FB"/>
    <w:rsid w:val="6D30394E"/>
    <w:rsid w:val="6D48083A"/>
    <w:rsid w:val="6D482800"/>
    <w:rsid w:val="6DF110EA"/>
    <w:rsid w:val="6E111760"/>
    <w:rsid w:val="6E151D57"/>
    <w:rsid w:val="6E4F02B1"/>
    <w:rsid w:val="6E602F7E"/>
    <w:rsid w:val="6E7873BE"/>
    <w:rsid w:val="6EA77C40"/>
    <w:rsid w:val="6EB04D47"/>
    <w:rsid w:val="6EBE5DD8"/>
    <w:rsid w:val="6F190B3E"/>
    <w:rsid w:val="6F27549D"/>
    <w:rsid w:val="6F965AC3"/>
    <w:rsid w:val="6F9B1C79"/>
    <w:rsid w:val="6FDC1B6B"/>
    <w:rsid w:val="6FFD045F"/>
    <w:rsid w:val="7030722A"/>
    <w:rsid w:val="703770E9"/>
    <w:rsid w:val="705B5186"/>
    <w:rsid w:val="705B5844"/>
    <w:rsid w:val="707324D0"/>
    <w:rsid w:val="70822713"/>
    <w:rsid w:val="70901798"/>
    <w:rsid w:val="70C24F12"/>
    <w:rsid w:val="70D17B4A"/>
    <w:rsid w:val="714B6FA9"/>
    <w:rsid w:val="71520253"/>
    <w:rsid w:val="71AD1A11"/>
    <w:rsid w:val="71D92932"/>
    <w:rsid w:val="72114AAA"/>
    <w:rsid w:val="721D4833"/>
    <w:rsid w:val="721E5D9D"/>
    <w:rsid w:val="722F0678"/>
    <w:rsid w:val="723B0DCB"/>
    <w:rsid w:val="72402885"/>
    <w:rsid w:val="72D66F5A"/>
    <w:rsid w:val="72F66982"/>
    <w:rsid w:val="731A4E85"/>
    <w:rsid w:val="732032ED"/>
    <w:rsid w:val="735C724B"/>
    <w:rsid w:val="739E7C84"/>
    <w:rsid w:val="73B52DFF"/>
    <w:rsid w:val="73B54BAD"/>
    <w:rsid w:val="73B76B77"/>
    <w:rsid w:val="73BE3A62"/>
    <w:rsid w:val="73E7FD0B"/>
    <w:rsid w:val="73EB6821"/>
    <w:rsid w:val="74051691"/>
    <w:rsid w:val="742D6E39"/>
    <w:rsid w:val="744228E5"/>
    <w:rsid w:val="74BF5CE3"/>
    <w:rsid w:val="74D53759"/>
    <w:rsid w:val="74DB60EE"/>
    <w:rsid w:val="74E97204"/>
    <w:rsid w:val="74F040EF"/>
    <w:rsid w:val="75382C3A"/>
    <w:rsid w:val="755C79D6"/>
    <w:rsid w:val="75F23E97"/>
    <w:rsid w:val="75FE2DC9"/>
    <w:rsid w:val="760A6BBB"/>
    <w:rsid w:val="760C31AA"/>
    <w:rsid w:val="761B060D"/>
    <w:rsid w:val="7630676D"/>
    <w:rsid w:val="76DA0F94"/>
    <w:rsid w:val="76E934EC"/>
    <w:rsid w:val="76F105F2"/>
    <w:rsid w:val="77071BC4"/>
    <w:rsid w:val="771A5453"/>
    <w:rsid w:val="77935B6D"/>
    <w:rsid w:val="77C34641"/>
    <w:rsid w:val="78160310"/>
    <w:rsid w:val="78C338C8"/>
    <w:rsid w:val="78FB3062"/>
    <w:rsid w:val="795141AE"/>
    <w:rsid w:val="79733540"/>
    <w:rsid w:val="79802913"/>
    <w:rsid w:val="79815C5D"/>
    <w:rsid w:val="79970FEA"/>
    <w:rsid w:val="79975481"/>
    <w:rsid w:val="79B71E82"/>
    <w:rsid w:val="79CE69C9"/>
    <w:rsid w:val="79FF6B82"/>
    <w:rsid w:val="7A1D7785"/>
    <w:rsid w:val="7A4B22DA"/>
    <w:rsid w:val="7A574C10"/>
    <w:rsid w:val="7A616DA6"/>
    <w:rsid w:val="7A642C35"/>
    <w:rsid w:val="7A9B53F9"/>
    <w:rsid w:val="7ABB6F4D"/>
    <w:rsid w:val="7B227DC2"/>
    <w:rsid w:val="7B2368A0"/>
    <w:rsid w:val="7B887BE9"/>
    <w:rsid w:val="7BB10350"/>
    <w:rsid w:val="7BD78F13"/>
    <w:rsid w:val="7BFC781D"/>
    <w:rsid w:val="7C232FFC"/>
    <w:rsid w:val="7C285DC8"/>
    <w:rsid w:val="7C4B4301"/>
    <w:rsid w:val="7C5E2286"/>
    <w:rsid w:val="7C86502B"/>
    <w:rsid w:val="7C9A717B"/>
    <w:rsid w:val="7CB91A48"/>
    <w:rsid w:val="7CF33F6E"/>
    <w:rsid w:val="7D456FA2"/>
    <w:rsid w:val="7D4C20DE"/>
    <w:rsid w:val="7D4E40A8"/>
    <w:rsid w:val="7D6571FD"/>
    <w:rsid w:val="7D9341B1"/>
    <w:rsid w:val="7D99109C"/>
    <w:rsid w:val="7DC0268B"/>
    <w:rsid w:val="7DC600E3"/>
    <w:rsid w:val="7DCC321F"/>
    <w:rsid w:val="7DFB8515"/>
    <w:rsid w:val="7E0F50E9"/>
    <w:rsid w:val="7E2A15EA"/>
    <w:rsid w:val="7E6B47E6"/>
    <w:rsid w:val="7E7C69F3"/>
    <w:rsid w:val="7EA457DC"/>
    <w:rsid w:val="7EAF0B77"/>
    <w:rsid w:val="7EC83416"/>
    <w:rsid w:val="7EF50554"/>
    <w:rsid w:val="7EFB5949"/>
    <w:rsid w:val="7F0864D9"/>
    <w:rsid w:val="7F1B255F"/>
    <w:rsid w:val="7F563EA0"/>
    <w:rsid w:val="7F5B3CA6"/>
    <w:rsid w:val="7F917FDC"/>
    <w:rsid w:val="7FBE14C8"/>
    <w:rsid w:val="7FC32507"/>
    <w:rsid w:val="7FE9029D"/>
    <w:rsid w:val="7FFB7DEC"/>
    <w:rsid w:val="9DB9651C"/>
    <w:rsid w:val="9EFD3288"/>
    <w:rsid w:val="A5931DD5"/>
    <w:rsid w:val="D6B914A1"/>
    <w:rsid w:val="DBFB53FE"/>
    <w:rsid w:val="DEAF76D2"/>
    <w:rsid w:val="DFFBA6BA"/>
    <w:rsid w:val="F7A77593"/>
    <w:rsid w:val="FF6B100C"/>
    <w:rsid w:val="FF7B7E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00" w:firstLineChars="200"/>
      <w:jc w:val="both"/>
    </w:pPr>
    <w:rPr>
      <w:rFonts w:ascii="Times New Roman" w:hAnsi="Times New Roman" w:eastAsia="宋体" w:cstheme="minorBidi"/>
      <w:kern w:val="2"/>
      <w:sz w:val="21"/>
      <w:szCs w:val="24"/>
      <w:lang w:val="en-US" w:eastAsia="zh-CN" w:bidi="ar-SA"/>
    </w:rPr>
  </w:style>
  <w:style w:type="paragraph" w:styleId="2">
    <w:name w:val="heading 1"/>
    <w:basedOn w:val="1"/>
    <w:next w:val="1"/>
    <w:qFormat/>
    <w:uiPriority w:val="0"/>
    <w:pPr>
      <w:keepNext/>
      <w:keepLines/>
      <w:numPr>
        <w:ilvl w:val="0"/>
        <w:numId w:val="1"/>
      </w:numPr>
      <w:tabs>
        <w:tab w:val="left" w:pos="3119"/>
        <w:tab w:val="left" w:pos="3402"/>
      </w:tabs>
      <w:spacing w:before="50" w:beforeLines="50" w:after="50" w:afterLines="50"/>
      <w:ind w:firstLineChars="0"/>
      <w:jc w:val="center"/>
      <w:outlineLvl w:val="0"/>
    </w:pPr>
    <w:rPr>
      <w:b/>
      <w:kern w:val="44"/>
    </w:rPr>
  </w:style>
  <w:style w:type="paragraph" w:styleId="3">
    <w:name w:val="heading 2"/>
    <w:basedOn w:val="1"/>
    <w:next w:val="1"/>
    <w:link w:val="30"/>
    <w:unhideWhenUsed/>
    <w:qFormat/>
    <w:uiPriority w:val="0"/>
    <w:pPr>
      <w:keepNext/>
      <w:keepLines/>
      <w:numPr>
        <w:ilvl w:val="1"/>
        <w:numId w:val="1"/>
      </w:numPr>
      <w:tabs>
        <w:tab w:val="left" w:pos="0"/>
        <w:tab w:val="left" w:pos="3402"/>
      </w:tabs>
      <w:spacing w:before="50" w:beforeLines="50"/>
      <w:ind w:firstLineChars="0"/>
      <w:jc w:val="left"/>
      <w:outlineLvl w:val="1"/>
    </w:pPr>
    <w:rPr>
      <w:b/>
      <w:sz w:val="24"/>
    </w:rPr>
  </w:style>
  <w:style w:type="paragraph" w:styleId="4">
    <w:name w:val="heading 3"/>
    <w:basedOn w:val="1"/>
    <w:next w:val="1"/>
    <w:unhideWhenUsed/>
    <w:qFormat/>
    <w:uiPriority w:val="0"/>
    <w:pPr>
      <w:keepNext/>
      <w:keepLines/>
      <w:numPr>
        <w:ilvl w:val="2"/>
        <w:numId w:val="1"/>
      </w:numPr>
      <w:tabs>
        <w:tab w:val="left" w:pos="3402"/>
      </w:tabs>
      <w:ind w:firstLineChars="0"/>
      <w:jc w:val="left"/>
      <w:outlineLvl w:val="2"/>
    </w:pPr>
    <w:rPr>
      <w:b/>
      <w:sz w:val="24"/>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5">
    <w:name w:val="Default Paragraph Font"/>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rFonts w:asciiTheme="minorHAnsi" w:hAnsiTheme="minorHAnsi" w:cstheme="minorHAnsi"/>
      <w:sz w:val="18"/>
      <w:szCs w:val="18"/>
    </w:rPr>
  </w:style>
  <w:style w:type="paragraph" w:styleId="7">
    <w:name w:val="annotation text"/>
    <w:basedOn w:val="1"/>
    <w:link w:val="31"/>
    <w:qFormat/>
    <w:uiPriority w:val="0"/>
    <w:pPr>
      <w:jc w:val="left"/>
    </w:pPr>
  </w:style>
  <w:style w:type="paragraph" w:styleId="8">
    <w:name w:val="Body Text"/>
    <w:basedOn w:val="1"/>
    <w:qFormat/>
    <w:uiPriority w:val="0"/>
    <w:pPr>
      <w:spacing w:after="120"/>
    </w:pPr>
  </w:style>
  <w:style w:type="paragraph" w:styleId="9">
    <w:name w:val="toc 5"/>
    <w:basedOn w:val="1"/>
    <w:next w:val="1"/>
    <w:qFormat/>
    <w:uiPriority w:val="0"/>
    <w:pPr>
      <w:ind w:left="960"/>
      <w:jc w:val="left"/>
    </w:pPr>
    <w:rPr>
      <w:rFonts w:asciiTheme="minorHAnsi" w:hAnsiTheme="minorHAnsi" w:cstheme="minorHAnsi"/>
      <w:sz w:val="18"/>
      <w:szCs w:val="18"/>
    </w:rPr>
  </w:style>
  <w:style w:type="paragraph" w:styleId="10">
    <w:name w:val="toc 3"/>
    <w:basedOn w:val="1"/>
    <w:next w:val="1"/>
    <w:qFormat/>
    <w:uiPriority w:val="39"/>
    <w:pPr>
      <w:ind w:left="480"/>
      <w:jc w:val="left"/>
    </w:pPr>
    <w:rPr>
      <w:rFonts w:cstheme="minorHAnsi"/>
      <w:iCs/>
      <w:szCs w:val="20"/>
    </w:rPr>
  </w:style>
  <w:style w:type="paragraph" w:styleId="11">
    <w:name w:val="toc 8"/>
    <w:basedOn w:val="1"/>
    <w:next w:val="1"/>
    <w:qFormat/>
    <w:uiPriority w:val="0"/>
    <w:pPr>
      <w:ind w:left="1680"/>
      <w:jc w:val="left"/>
    </w:pPr>
    <w:rPr>
      <w:rFonts w:asciiTheme="minorHAnsi" w:hAnsiTheme="minorHAnsi" w:cstheme="minorHAnsi"/>
      <w:sz w:val="18"/>
      <w:szCs w:val="18"/>
    </w:rPr>
  </w:style>
  <w:style w:type="paragraph" w:styleId="12">
    <w:name w:val="Balloon Text"/>
    <w:basedOn w:val="1"/>
    <w:link w:val="63"/>
    <w:qFormat/>
    <w:uiPriority w:val="0"/>
    <w:pPr>
      <w:spacing w:line="240" w:lineRule="auto"/>
    </w:pPr>
    <w:rPr>
      <w:sz w:val="18"/>
      <w:szCs w:val="18"/>
    </w:rPr>
  </w:style>
  <w:style w:type="paragraph" w:styleId="13">
    <w:name w:val="footer"/>
    <w:basedOn w:val="1"/>
    <w:link w:val="38"/>
    <w:qFormat/>
    <w:uiPriority w:val="99"/>
    <w:pPr>
      <w:tabs>
        <w:tab w:val="center" w:pos="4153"/>
        <w:tab w:val="right" w:pos="8306"/>
      </w:tabs>
      <w:snapToGrid w:val="0"/>
      <w:spacing w:line="240" w:lineRule="auto"/>
      <w:jc w:val="left"/>
    </w:pPr>
    <w:rPr>
      <w:sz w:val="18"/>
      <w:szCs w:val="18"/>
    </w:rPr>
  </w:style>
  <w:style w:type="paragraph" w:styleId="14">
    <w:name w:val="header"/>
    <w:basedOn w:val="1"/>
    <w:link w:val="37"/>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qFormat/>
    <w:uiPriority w:val="39"/>
    <w:pPr>
      <w:spacing w:before="120" w:after="120"/>
      <w:jc w:val="left"/>
    </w:pPr>
    <w:rPr>
      <w:rFonts w:cstheme="minorHAnsi"/>
      <w:b/>
      <w:bCs/>
      <w:caps/>
      <w:szCs w:val="20"/>
    </w:rPr>
  </w:style>
  <w:style w:type="paragraph" w:styleId="16">
    <w:name w:val="toc 4"/>
    <w:basedOn w:val="1"/>
    <w:next w:val="1"/>
    <w:qFormat/>
    <w:uiPriority w:val="0"/>
    <w:pPr>
      <w:ind w:left="720"/>
      <w:jc w:val="left"/>
    </w:pPr>
    <w:rPr>
      <w:rFonts w:asciiTheme="minorHAnsi" w:hAnsiTheme="minorHAnsi" w:cstheme="minorHAnsi"/>
      <w:sz w:val="18"/>
      <w:szCs w:val="18"/>
    </w:rPr>
  </w:style>
  <w:style w:type="paragraph" w:styleId="17">
    <w:name w:val="toc 6"/>
    <w:basedOn w:val="1"/>
    <w:next w:val="1"/>
    <w:qFormat/>
    <w:uiPriority w:val="0"/>
    <w:pPr>
      <w:ind w:left="1200"/>
      <w:jc w:val="left"/>
    </w:pPr>
    <w:rPr>
      <w:rFonts w:asciiTheme="minorHAnsi" w:hAnsiTheme="minorHAnsi" w:cstheme="minorHAnsi"/>
      <w:sz w:val="18"/>
      <w:szCs w:val="18"/>
    </w:rPr>
  </w:style>
  <w:style w:type="paragraph" w:styleId="18">
    <w:name w:val="toc 2"/>
    <w:basedOn w:val="1"/>
    <w:next w:val="1"/>
    <w:qFormat/>
    <w:uiPriority w:val="39"/>
    <w:pPr>
      <w:ind w:left="240"/>
      <w:jc w:val="left"/>
    </w:pPr>
    <w:rPr>
      <w:rFonts w:cstheme="minorHAnsi"/>
      <w:smallCaps/>
      <w:szCs w:val="20"/>
    </w:rPr>
  </w:style>
  <w:style w:type="paragraph" w:styleId="19">
    <w:name w:val="toc 9"/>
    <w:basedOn w:val="1"/>
    <w:next w:val="1"/>
    <w:qFormat/>
    <w:uiPriority w:val="0"/>
    <w:pPr>
      <w:ind w:left="1920"/>
      <w:jc w:val="left"/>
    </w:pPr>
    <w:rPr>
      <w:rFonts w:asciiTheme="minorHAnsi" w:hAnsiTheme="minorHAnsi" w:cstheme="minorHAnsi"/>
      <w:sz w:val="18"/>
      <w:szCs w:val="18"/>
    </w:rPr>
  </w:style>
  <w:style w:type="paragraph" w:styleId="20">
    <w:name w:val="Normal (Web)"/>
    <w:basedOn w:val="1"/>
    <w:qFormat/>
    <w:uiPriority w:val="0"/>
    <w:rPr>
      <w:sz w:val="24"/>
    </w:rPr>
  </w:style>
  <w:style w:type="paragraph" w:styleId="21">
    <w:name w:val="annotation subject"/>
    <w:basedOn w:val="7"/>
    <w:next w:val="7"/>
    <w:link w:val="32"/>
    <w:qFormat/>
    <w:uiPriority w:val="0"/>
    <w:rPr>
      <w:b/>
      <w:bCs/>
    </w:rPr>
  </w:style>
  <w:style w:type="paragraph" w:styleId="22">
    <w:name w:val="Body Text First Indent"/>
    <w:basedOn w:val="8"/>
    <w:semiHidden/>
    <w:qFormat/>
    <w:uiPriority w:val="0"/>
    <w:pPr>
      <w:adjustRightInd w:val="0"/>
      <w:spacing w:before="120" w:line="294" w:lineRule="auto"/>
      <w:ind w:firstLine="420" w:firstLineChars="100"/>
      <w:textAlignment w:val="baseline"/>
    </w:pPr>
    <w:rPr>
      <w:rFonts w:ascii="宋体" w:hAnsi="宋体" w:cs="Times New Roman"/>
      <w:kern w:val="0"/>
      <w:sz w:val="24"/>
      <w:szCs w:val="28"/>
      <w:lang w:eastAsia="en-U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6">
    <w:name w:val="Strong"/>
    <w:qFormat/>
    <w:uiPriority w:val="22"/>
    <w:rPr>
      <w:b/>
      <w:bCs/>
    </w:rPr>
  </w:style>
  <w:style w:type="character" w:styleId="27">
    <w:name w:val="Hyperlink"/>
    <w:basedOn w:val="25"/>
    <w:unhideWhenUsed/>
    <w:qFormat/>
    <w:uiPriority w:val="99"/>
    <w:rPr>
      <w:color w:val="0563C1" w:themeColor="hyperlink"/>
      <w:u w:val="single"/>
      <w14:textFill>
        <w14:solidFill>
          <w14:schemeClr w14:val="hlink"/>
        </w14:solidFill>
      </w14:textFill>
    </w:rPr>
  </w:style>
  <w:style w:type="character" w:styleId="28">
    <w:name w:val="annotation reference"/>
    <w:basedOn w:val="25"/>
    <w:qFormat/>
    <w:uiPriority w:val="0"/>
    <w:rPr>
      <w:sz w:val="21"/>
      <w:szCs w:val="21"/>
    </w:rPr>
  </w:style>
  <w:style w:type="paragraph" w:customStyle="1" w:styleId="29">
    <w:name w:val="Quote1"/>
    <w:basedOn w:val="1"/>
    <w:next w:val="1"/>
    <w:qFormat/>
    <w:uiPriority w:val="0"/>
    <w:pPr>
      <w:widowControl/>
      <w:wordWrap w:val="0"/>
      <w:spacing w:before="200" w:after="160"/>
      <w:ind w:left="864" w:right="864"/>
      <w:jc w:val="center"/>
    </w:pPr>
    <w:rPr>
      <w:i/>
      <w:kern w:val="0"/>
    </w:rPr>
  </w:style>
  <w:style w:type="character" w:customStyle="1" w:styleId="30">
    <w:name w:val="标题 2 字符"/>
    <w:link w:val="3"/>
    <w:qFormat/>
    <w:uiPriority w:val="0"/>
    <w:rPr>
      <w:rFonts w:cstheme="minorBidi"/>
      <w:b/>
      <w:kern w:val="2"/>
      <w:sz w:val="24"/>
      <w:szCs w:val="24"/>
    </w:rPr>
  </w:style>
  <w:style w:type="character" w:customStyle="1" w:styleId="31">
    <w:name w:val="批注文字 字符"/>
    <w:basedOn w:val="25"/>
    <w:link w:val="7"/>
    <w:qFormat/>
    <w:uiPriority w:val="0"/>
    <w:rPr>
      <w:rFonts w:asciiTheme="minorHAnsi" w:hAnsiTheme="minorHAnsi" w:eastAsiaTheme="minorEastAsia" w:cstheme="minorBidi"/>
      <w:kern w:val="2"/>
      <w:sz w:val="24"/>
      <w:szCs w:val="24"/>
    </w:rPr>
  </w:style>
  <w:style w:type="character" w:customStyle="1" w:styleId="32">
    <w:name w:val="批注主题 字符"/>
    <w:basedOn w:val="31"/>
    <w:link w:val="21"/>
    <w:qFormat/>
    <w:uiPriority w:val="0"/>
    <w:rPr>
      <w:rFonts w:asciiTheme="minorHAnsi" w:hAnsiTheme="minorHAnsi" w:eastAsiaTheme="minorEastAsia" w:cstheme="minorBidi"/>
      <w:b/>
      <w:bCs/>
      <w:kern w:val="2"/>
      <w:sz w:val="24"/>
      <w:szCs w:val="24"/>
    </w:rPr>
  </w:style>
  <w:style w:type="paragraph" w:customStyle="1" w:styleId="33">
    <w:name w:val="修订1"/>
    <w:hidden/>
    <w:semiHidden/>
    <w:qFormat/>
    <w:uiPriority w:val="99"/>
    <w:rPr>
      <w:rFonts w:asciiTheme="minorHAnsi" w:hAnsiTheme="minorHAnsi" w:eastAsiaTheme="minorEastAsia" w:cstheme="minorBidi"/>
      <w:kern w:val="2"/>
      <w:sz w:val="24"/>
      <w:szCs w:val="24"/>
      <w:lang w:val="en-US" w:eastAsia="zh-CN" w:bidi="ar-SA"/>
    </w:rPr>
  </w:style>
  <w:style w:type="paragraph" w:customStyle="1" w:styleId="34">
    <w:name w:val="TOC 标题1"/>
    <w:basedOn w:val="2"/>
    <w:next w:val="1"/>
    <w:unhideWhenUsed/>
    <w:qFormat/>
    <w:uiPriority w:val="39"/>
    <w:pPr>
      <w:widowControl/>
      <w:spacing w:before="240" w:beforeLines="0" w:after="0" w:afterLines="0" w:line="259" w:lineRule="auto"/>
      <w:ind w:firstLine="480"/>
      <w:jc w:val="left"/>
      <w:outlineLvl w:val="9"/>
    </w:pPr>
    <w:rPr>
      <w:rFonts w:asciiTheme="majorHAnsi" w:hAnsiTheme="majorHAnsi" w:eastAsiaTheme="majorEastAsia" w:cstheme="majorBidi"/>
      <w:b w:val="0"/>
      <w:color w:val="2E75B6" w:themeColor="accent1" w:themeShade="BF"/>
      <w:kern w:val="0"/>
      <w:sz w:val="32"/>
      <w:szCs w:val="32"/>
      <w:lang w:val="zh-CN"/>
    </w:rPr>
  </w:style>
  <w:style w:type="paragraph" w:styleId="35">
    <w:name w:val="List Paragraph"/>
    <w:basedOn w:val="1"/>
    <w:link w:val="46"/>
    <w:qFormat/>
    <w:uiPriority w:val="99"/>
    <w:pPr>
      <w:ind w:firstLine="0" w:firstLineChars="0"/>
    </w:pPr>
  </w:style>
  <w:style w:type="paragraph" w:customStyle="1" w:styleId="36">
    <w:name w:val="TOC 标题11"/>
    <w:basedOn w:val="2"/>
    <w:next w:val="1"/>
    <w:unhideWhenUsed/>
    <w:qFormat/>
    <w:uiPriority w:val="39"/>
    <w:pPr>
      <w:widowControl/>
      <w:numPr>
        <w:numId w:val="0"/>
      </w:numPr>
      <w:spacing w:before="240" w:after="0" w:afterLines="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character" w:customStyle="1" w:styleId="37">
    <w:name w:val="页眉 字符"/>
    <w:basedOn w:val="25"/>
    <w:link w:val="14"/>
    <w:qFormat/>
    <w:uiPriority w:val="0"/>
    <w:rPr>
      <w:rFonts w:cstheme="minorBidi"/>
      <w:kern w:val="2"/>
      <w:sz w:val="18"/>
      <w:szCs w:val="18"/>
    </w:rPr>
  </w:style>
  <w:style w:type="character" w:customStyle="1" w:styleId="38">
    <w:name w:val="页脚 字符"/>
    <w:basedOn w:val="25"/>
    <w:link w:val="13"/>
    <w:qFormat/>
    <w:uiPriority w:val="99"/>
    <w:rPr>
      <w:rFonts w:cstheme="minorBidi"/>
      <w:kern w:val="2"/>
      <w:sz w:val="18"/>
      <w:szCs w:val="18"/>
    </w:rPr>
  </w:style>
  <w:style w:type="paragraph" w:customStyle="1" w:styleId="39">
    <w:name w:val="修订2"/>
    <w:hidden/>
    <w:semiHidden/>
    <w:qFormat/>
    <w:uiPriority w:val="99"/>
    <w:rPr>
      <w:rFonts w:ascii="Times New Roman" w:hAnsi="Times New Roman" w:eastAsia="宋体" w:cstheme="minorBidi"/>
      <w:kern w:val="2"/>
      <w:sz w:val="24"/>
      <w:szCs w:val="24"/>
      <w:lang w:val="en-US" w:eastAsia="zh-CN" w:bidi="ar-SA"/>
    </w:rPr>
  </w:style>
  <w:style w:type="paragraph" w:customStyle="1" w:styleId="40">
    <w:name w:val="列出段落1"/>
    <w:basedOn w:val="1"/>
    <w:qFormat/>
    <w:uiPriority w:val="99"/>
    <w:pPr>
      <w:ind w:firstLine="420"/>
    </w:pPr>
  </w:style>
  <w:style w:type="paragraph" w:customStyle="1" w:styleId="41">
    <w:name w:val="Table Text"/>
    <w:basedOn w:val="1"/>
    <w:semiHidden/>
    <w:qFormat/>
    <w:uiPriority w:val="0"/>
    <w:rPr>
      <w:rFonts w:ascii="宋体" w:hAnsi="宋体" w:cs="宋体"/>
      <w:sz w:val="18"/>
      <w:szCs w:val="18"/>
      <w:lang w:eastAsia="en-US"/>
    </w:rPr>
  </w:style>
  <w:style w:type="table" w:customStyle="1" w:styleId="42">
    <w:name w:val="Table Normal"/>
    <w:semiHidden/>
    <w:unhideWhenUsed/>
    <w:qFormat/>
    <w:uiPriority w:val="0"/>
    <w:tblPr>
      <w:tblCellMar>
        <w:top w:w="0" w:type="dxa"/>
        <w:left w:w="0" w:type="dxa"/>
        <w:bottom w:w="0" w:type="dxa"/>
        <w:right w:w="0" w:type="dxa"/>
      </w:tblCellMar>
    </w:tblPr>
  </w:style>
  <w:style w:type="paragraph" w:customStyle="1" w:styleId="43">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44">
    <w:name w:val="表文字"/>
    <w:basedOn w:val="1"/>
    <w:qFormat/>
    <w:uiPriority w:val="0"/>
    <w:pPr>
      <w:autoSpaceDE w:val="0"/>
      <w:autoSpaceDN w:val="0"/>
      <w:spacing w:line="0" w:lineRule="atLeast"/>
      <w:jc w:val="center"/>
    </w:pPr>
    <w:rPr>
      <w:szCs w:val="16"/>
    </w:rPr>
  </w:style>
  <w:style w:type="paragraph" w:customStyle="1" w:styleId="45">
    <w:name w:val="条"/>
    <w:basedOn w:val="1"/>
    <w:next w:val="1"/>
    <w:qFormat/>
    <w:uiPriority w:val="0"/>
    <w:pPr>
      <w:autoSpaceDE w:val="0"/>
      <w:autoSpaceDN w:val="0"/>
      <w:adjustRightInd w:val="0"/>
      <w:jc w:val="left"/>
    </w:pPr>
    <w:rPr>
      <w:rFonts w:ascii="宋体" w:cs="黑体"/>
      <w:color w:val="000000"/>
      <w:kern w:val="0"/>
      <w:szCs w:val="21"/>
    </w:rPr>
  </w:style>
  <w:style w:type="character" w:customStyle="1" w:styleId="46">
    <w:name w:val="列表段落 字符"/>
    <w:link w:val="35"/>
    <w:qFormat/>
    <w:uiPriority w:val="99"/>
    <w:rPr>
      <w:rFonts w:ascii="Times New Roman" w:hAnsi="Times New Roman" w:eastAsia="宋体"/>
      <w:sz w:val="21"/>
    </w:rPr>
  </w:style>
  <w:style w:type="character" w:customStyle="1" w:styleId="47">
    <w:name w:val="font41"/>
    <w:basedOn w:val="25"/>
    <w:qFormat/>
    <w:uiPriority w:val="0"/>
    <w:rPr>
      <w:rFonts w:ascii="黑体" w:hAnsi="宋体" w:eastAsia="黑体" w:cs="黑体"/>
      <w:b/>
      <w:bCs/>
      <w:color w:val="000000"/>
      <w:sz w:val="36"/>
      <w:szCs w:val="36"/>
      <w:u w:val="none"/>
    </w:rPr>
  </w:style>
  <w:style w:type="character" w:customStyle="1" w:styleId="48">
    <w:name w:val="font51"/>
    <w:basedOn w:val="25"/>
    <w:qFormat/>
    <w:uiPriority w:val="0"/>
    <w:rPr>
      <w:rFonts w:ascii="黑体" w:hAnsi="宋体" w:eastAsia="黑体" w:cs="黑体"/>
      <w:color w:val="000000"/>
      <w:sz w:val="36"/>
      <w:szCs w:val="36"/>
      <w:u w:val="none"/>
    </w:rPr>
  </w:style>
  <w:style w:type="character" w:customStyle="1" w:styleId="49">
    <w:name w:val="font61"/>
    <w:basedOn w:val="25"/>
    <w:qFormat/>
    <w:uiPriority w:val="0"/>
    <w:rPr>
      <w:rFonts w:ascii="宋体" w:hAnsi="宋体" w:eastAsia="宋体" w:cs="宋体"/>
      <w:color w:val="000000"/>
      <w:sz w:val="24"/>
      <w:szCs w:val="24"/>
      <w:u w:val="none"/>
    </w:rPr>
  </w:style>
  <w:style w:type="character" w:customStyle="1" w:styleId="50">
    <w:name w:val="font71"/>
    <w:basedOn w:val="25"/>
    <w:qFormat/>
    <w:uiPriority w:val="0"/>
    <w:rPr>
      <w:rFonts w:ascii="Arial" w:hAnsi="Arial" w:cs="Arial"/>
      <w:color w:val="000000"/>
      <w:sz w:val="18"/>
      <w:szCs w:val="18"/>
      <w:u w:val="none"/>
    </w:rPr>
  </w:style>
  <w:style w:type="character" w:customStyle="1" w:styleId="51">
    <w:name w:val="font81"/>
    <w:basedOn w:val="25"/>
    <w:qFormat/>
    <w:uiPriority w:val="0"/>
    <w:rPr>
      <w:rFonts w:ascii="宋体" w:hAnsi="宋体" w:eastAsia="宋体" w:cs="宋体"/>
      <w:b/>
      <w:bCs/>
      <w:color w:val="000000"/>
      <w:sz w:val="24"/>
      <w:szCs w:val="24"/>
      <w:u w:val="none"/>
    </w:rPr>
  </w:style>
  <w:style w:type="character" w:customStyle="1" w:styleId="52">
    <w:name w:val="font31"/>
    <w:basedOn w:val="25"/>
    <w:qFormat/>
    <w:uiPriority w:val="0"/>
    <w:rPr>
      <w:rFonts w:ascii="黑体" w:hAnsi="宋体" w:eastAsia="黑体" w:cs="黑体"/>
      <w:b/>
      <w:bCs/>
      <w:color w:val="000000"/>
      <w:sz w:val="36"/>
      <w:szCs w:val="36"/>
      <w:u w:val="none"/>
    </w:rPr>
  </w:style>
  <w:style w:type="paragraph" w:customStyle="1" w:styleId="53">
    <w:name w:val="SC-正文 5号黑体"/>
    <w:basedOn w:val="1"/>
    <w:next w:val="54"/>
    <w:qFormat/>
    <w:uiPriority w:val="0"/>
    <w:pPr>
      <w:spacing w:before="156" w:beforeLines="50"/>
      <w:jc w:val="left"/>
    </w:pPr>
    <w:rPr>
      <w:rFonts w:eastAsia="黑体"/>
      <w:b/>
    </w:rPr>
  </w:style>
  <w:style w:type="paragraph" w:customStyle="1" w:styleId="54">
    <w:name w:val="SC-正文 5号楷体"/>
    <w:basedOn w:val="55"/>
    <w:qFormat/>
    <w:uiPriority w:val="0"/>
    <w:pPr>
      <w:spacing w:before="0" w:beforeAutospacing="0" w:after="0" w:afterAutospacing="0" w:line="240" w:lineRule="auto"/>
      <w:jc w:val="left"/>
    </w:pPr>
    <w:rPr>
      <w:b w:val="0"/>
    </w:rPr>
  </w:style>
  <w:style w:type="paragraph" w:customStyle="1" w:styleId="55">
    <w:name w:val="SC-正文表头"/>
    <w:basedOn w:val="1"/>
    <w:qFormat/>
    <w:uiPriority w:val="0"/>
    <w:pPr>
      <w:spacing w:before="100" w:beforeAutospacing="1" w:after="100" w:afterAutospacing="1"/>
      <w:jc w:val="center"/>
    </w:pPr>
    <w:rPr>
      <w:rFonts w:eastAsia="方正楷体_GB2312"/>
      <w:b/>
    </w:rPr>
  </w:style>
  <w:style w:type="paragraph" w:customStyle="1" w:styleId="56">
    <w:name w:val="SC-正文 5号宋体"/>
    <w:basedOn w:val="54"/>
    <w:qFormat/>
    <w:uiPriority w:val="0"/>
    <w:rPr>
      <w:rFonts w:eastAsia="宋体"/>
      <w:bCs/>
    </w:rPr>
  </w:style>
  <w:style w:type="paragraph" w:customStyle="1" w:styleId="57">
    <w:name w:val="SC-正文 5号宋体 带2空格"/>
    <w:basedOn w:val="56"/>
    <w:qFormat/>
    <w:uiPriority w:val="0"/>
    <w:pPr>
      <w:ind w:firstLine="422"/>
    </w:pPr>
  </w:style>
  <w:style w:type="paragraph" w:customStyle="1" w:styleId="58">
    <w:name w:val="修订3"/>
    <w:hidden/>
    <w:unhideWhenUsed/>
    <w:qFormat/>
    <w:uiPriority w:val="99"/>
    <w:rPr>
      <w:rFonts w:ascii="Times New Roman" w:hAnsi="Times New Roman" w:eastAsia="宋体" w:cstheme="minorBidi"/>
      <w:kern w:val="2"/>
      <w:sz w:val="21"/>
      <w:szCs w:val="24"/>
      <w:lang w:val="en-US" w:eastAsia="zh-CN" w:bidi="ar-SA"/>
    </w:rPr>
  </w:style>
  <w:style w:type="paragraph" w:customStyle="1" w:styleId="59">
    <w:name w:val="修订4"/>
    <w:hidden/>
    <w:unhideWhenUsed/>
    <w:qFormat/>
    <w:uiPriority w:val="99"/>
    <w:rPr>
      <w:rFonts w:ascii="Times New Roman" w:hAnsi="Times New Roman" w:eastAsia="宋体" w:cstheme="minorBidi"/>
      <w:kern w:val="2"/>
      <w:sz w:val="21"/>
      <w:szCs w:val="24"/>
      <w:lang w:val="en-US" w:eastAsia="zh-CN" w:bidi="ar-SA"/>
    </w:rPr>
  </w:style>
  <w:style w:type="paragraph" w:customStyle="1" w:styleId="60">
    <w:name w:val="修订5"/>
    <w:hidden/>
    <w:unhideWhenUsed/>
    <w:qFormat/>
    <w:uiPriority w:val="99"/>
    <w:rPr>
      <w:rFonts w:ascii="Times New Roman" w:hAnsi="Times New Roman" w:eastAsia="宋体" w:cstheme="minorBidi"/>
      <w:kern w:val="2"/>
      <w:sz w:val="21"/>
      <w:szCs w:val="24"/>
      <w:lang w:val="en-US" w:eastAsia="zh-CN" w:bidi="ar-SA"/>
    </w:rPr>
  </w:style>
  <w:style w:type="paragraph" w:customStyle="1" w:styleId="61">
    <w:name w:val="修订6"/>
    <w:hidden/>
    <w:unhideWhenUsed/>
    <w:qFormat/>
    <w:uiPriority w:val="99"/>
    <w:rPr>
      <w:rFonts w:ascii="Times New Roman" w:hAnsi="Times New Roman" w:eastAsia="宋体" w:cstheme="minorBidi"/>
      <w:kern w:val="2"/>
      <w:sz w:val="21"/>
      <w:szCs w:val="24"/>
      <w:lang w:val="en-US" w:eastAsia="zh-CN" w:bidi="ar-SA"/>
    </w:rPr>
  </w:style>
  <w:style w:type="character" w:styleId="62">
    <w:name w:val="Placeholder Text"/>
    <w:basedOn w:val="25"/>
    <w:unhideWhenUsed/>
    <w:qFormat/>
    <w:uiPriority w:val="99"/>
    <w:rPr>
      <w:color w:val="666666"/>
    </w:rPr>
  </w:style>
  <w:style w:type="character" w:customStyle="1" w:styleId="63">
    <w:name w:val="批注框文本 字符"/>
    <w:basedOn w:val="25"/>
    <w:link w:val="12"/>
    <w:qFormat/>
    <w:uiPriority w:val="0"/>
    <w:rPr>
      <w:rFonts w:cstheme="minorBidi"/>
      <w:kern w:val="2"/>
      <w:sz w:val="18"/>
      <w:szCs w:val="18"/>
    </w:rPr>
  </w:style>
  <w:style w:type="paragraph" w:customStyle="1" w:styleId="64">
    <w:name w:val="修订7"/>
    <w:hidden/>
    <w:semiHidden/>
    <w:qFormat/>
    <w:uiPriority w:val="99"/>
    <w:rPr>
      <w:rFonts w:ascii="Times New Roman" w:hAnsi="Times New Roman" w:eastAsia="宋体" w:cstheme="minorBidi"/>
      <w:kern w:val="2"/>
      <w:sz w:val="21"/>
      <w:szCs w:val="24"/>
      <w:lang w:val="en-US" w:eastAsia="zh-CN" w:bidi="ar-SA"/>
    </w:rPr>
  </w:style>
  <w:style w:type="paragraph" w:customStyle="1" w:styleId="65">
    <w:name w:val="修订8"/>
    <w:hidden/>
    <w:unhideWhenUsed/>
    <w:qFormat/>
    <w:uiPriority w:val="99"/>
    <w:rPr>
      <w:rFonts w:ascii="Times New Roman" w:hAnsi="Times New Roman" w:eastAsia="宋体" w:cstheme="minorBidi"/>
      <w:kern w:val="2"/>
      <w:sz w:val="21"/>
      <w:szCs w:val="24"/>
      <w:lang w:val="en-US" w:eastAsia="zh-CN" w:bidi="ar-SA"/>
    </w:rPr>
  </w:style>
  <w:style w:type="paragraph" w:customStyle="1" w:styleId="66">
    <w:name w:val="修订9"/>
    <w:hidden/>
    <w:unhideWhenUsed/>
    <w:qFormat/>
    <w:uiPriority w:val="99"/>
    <w:rPr>
      <w:rFonts w:ascii="Times New Roman" w:hAnsi="Times New Roman" w:eastAsia="宋体" w:cstheme="minorBidi"/>
      <w:kern w:val="2"/>
      <w:sz w:val="21"/>
      <w:szCs w:val="24"/>
      <w:lang w:val="en-US" w:eastAsia="zh-CN" w:bidi="ar-SA"/>
    </w:rPr>
  </w:style>
  <w:style w:type="paragraph" w:customStyle="1" w:styleId="67">
    <w:name w:val="修订10"/>
    <w:hidden/>
    <w:unhideWhenUsed/>
    <w:qFormat/>
    <w:uiPriority w:val="99"/>
    <w:rPr>
      <w:rFonts w:ascii="Times New Roman" w:hAnsi="Times New Roman" w:eastAsia="宋体" w:cstheme="minorBidi"/>
      <w:kern w:val="2"/>
      <w:sz w:val="21"/>
      <w:szCs w:val="24"/>
      <w:lang w:val="en-US" w:eastAsia="zh-CN" w:bidi="ar-SA"/>
    </w:rPr>
  </w:style>
  <w:style w:type="paragraph" w:customStyle="1" w:styleId="68">
    <w:name w:val="修订11"/>
    <w:hidden/>
    <w:unhideWhenUsed/>
    <w:qFormat/>
    <w:uiPriority w:val="99"/>
    <w:rPr>
      <w:rFonts w:ascii="Times New Roman" w:hAnsi="Times New Roman" w:eastAsia="宋体"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DF07B-491B-4F93-BB61-5EF5A4E86665}">
  <ds:schemaRefs/>
</ds:datastoreItem>
</file>

<file path=docProps/app.xml><?xml version="1.0" encoding="utf-8"?>
<Properties xmlns="http://schemas.openxmlformats.org/officeDocument/2006/extended-properties" xmlns:vt="http://schemas.openxmlformats.org/officeDocument/2006/docPropsVTypes">
  <Company>Organization</Company>
  <Pages>9</Pages>
  <Words>1442</Words>
  <Characters>1575</Characters>
  <Lines>183</Lines>
  <Paragraphs>51</Paragraphs>
  <TotalTime>22</TotalTime>
  <ScaleCrop>false</ScaleCrop>
  <LinksUpToDate>false</LinksUpToDate>
  <CharactersWithSpaces>1630</CharactersWithSpaces>
  <Application>WPS Office WWO_wpscloud_20251223211019-ce96ae1422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2026-09-10T18:23:00Z</dcterms:created>
  <dc:creator>houlq</dc:creator>
  <cp:lastModifiedBy>houlq</cp:lastModifiedBy>
  <cp:lastPrinted>2026-09-16T20:14:00Z</cp:lastPrinted>
  <dcterms:modified xsi:type="dcterms:W3CDTF">2026-09-22T09:35:31Z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2052-12.9.0.24133</vt:lpwstr>
  </property>
  <property fmtid="{D5CDD505-2E9C-101B-9397-08002B2CF9AE}" pid="3" name="ICV">
    <vt:lpwstr>FD9C04F2275DAA4663DBB16A2495BBBD_43</vt:lpwstr>
  </property>
  <property fmtid="{D5CDD505-2E9C-101B-9397-08002B2CF9AE}" pid="4" name="KSOTemplateDocerSaveRecord">
    <vt:lpwstr>eyJoZGlkIjoiZjJlNWIxMWI3NTgyODE1MGY4ZjZiMGIzZDczMjIwODQiLCJ1c2VySWQiOiI0MTczODA5NjMifQ==</vt:lpwstr>
  </property>
</Properties>
</file>